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b/>
        </w:rPr>
      </w:pPr>
      <w:r w:rsidRPr="00DE2F91">
        <w:rPr>
          <w:rFonts w:asciiTheme="minorHAnsi" w:hAnsiTheme="minorHAnsi" w:cstheme="minorHAnsi"/>
          <w:b/>
        </w:rPr>
        <w:t xml:space="preserve">Propositions de sujets de recherche </w:t>
      </w:r>
      <w:r>
        <w:rPr>
          <w:rFonts w:asciiTheme="minorHAnsi" w:hAnsiTheme="minorHAnsi" w:cstheme="minorHAnsi"/>
          <w:b/>
        </w:rPr>
        <w:t xml:space="preserve">dans le cadre du concours </w:t>
      </w:r>
      <w:r w:rsidR="007A028B">
        <w:rPr>
          <w:rFonts w:asciiTheme="minorHAnsi" w:hAnsiTheme="minorHAnsi" w:cstheme="minorHAnsi"/>
          <w:b/>
        </w:rPr>
        <w:t>2020</w:t>
      </w:r>
      <w:r w:rsidRPr="00DE2F91">
        <w:rPr>
          <w:rFonts w:asciiTheme="minorHAnsi" w:hAnsiTheme="minorHAnsi" w:cstheme="minorHAnsi"/>
          <w:b/>
        </w:rPr>
        <w:t xml:space="preserve"> des </w:t>
      </w:r>
      <w:r>
        <w:rPr>
          <w:rFonts w:asciiTheme="minorHAnsi" w:hAnsiTheme="minorHAnsi" w:cstheme="minorHAnsi"/>
          <w:b/>
        </w:rPr>
        <w:t>allocations</w:t>
      </w:r>
      <w:r w:rsidRPr="00DE2F91">
        <w:rPr>
          <w:rFonts w:asciiTheme="minorHAnsi" w:hAnsiTheme="minorHAnsi" w:cstheme="minorHAnsi"/>
          <w:b/>
        </w:rPr>
        <w:t xml:space="preserve"> de thèse de l’Ecole Doctorale Sciences de la Vie, Santé, Agronomie, Environnement (SVSAE) de Clermont-Ferrand</w:t>
      </w:r>
    </w:p>
    <w:p w:rsidR="00DE2F91" w:rsidRPr="00DE2F91" w:rsidRDefault="00DE2F91" w:rsidP="00363C0D">
      <w:pPr>
        <w:jc w:val="center"/>
        <w:rPr>
          <w:rFonts w:asciiTheme="minorHAnsi" w:hAnsiTheme="minorHAnsi" w:cstheme="minorHAnsi"/>
          <w:b/>
        </w:rPr>
      </w:pPr>
    </w:p>
    <w:p w:rsidR="00DE2F91" w:rsidRDefault="00363C0D" w:rsidP="00363C0D">
      <w:pPr>
        <w:jc w:val="center"/>
        <w:rPr>
          <w:rFonts w:asciiTheme="minorHAnsi" w:hAnsiTheme="minorHAnsi" w:cstheme="minorHAnsi"/>
          <w:b/>
        </w:rPr>
      </w:pPr>
      <w:hyperlink r:id="rId4" w:history="1">
        <w:r w:rsidR="00DE2F91" w:rsidRPr="00DE2F91">
          <w:rPr>
            <w:rStyle w:val="Lienhypertexte"/>
            <w:rFonts w:asciiTheme="minorHAnsi" w:hAnsiTheme="minorHAnsi" w:cstheme="minorHAnsi"/>
            <w:b/>
          </w:rPr>
          <w:t>http://edsvs.univ-bpclermont.fr/?p=35</w:t>
        </w:r>
      </w:hyperlink>
      <w:r w:rsidR="00DE2F91" w:rsidRPr="00DE2F91">
        <w:rPr>
          <w:rFonts w:asciiTheme="minorHAnsi" w:hAnsiTheme="minorHAnsi" w:cstheme="minorHAnsi"/>
          <w:b/>
        </w:rPr>
        <w:t xml:space="preserve"> </w:t>
      </w:r>
    </w:p>
    <w:p w:rsidR="00A2389F" w:rsidRPr="00DE2F91" w:rsidRDefault="00A2389F" w:rsidP="00363C0D">
      <w:pPr>
        <w:jc w:val="center"/>
        <w:rPr>
          <w:rFonts w:asciiTheme="minorHAnsi" w:hAnsiTheme="minorHAnsi" w:cstheme="minorHAnsi"/>
          <w:b/>
        </w:rPr>
      </w:pPr>
      <w:r>
        <w:rPr>
          <w:rFonts w:asciiTheme="minorHAnsi" w:hAnsiTheme="minorHAnsi" w:cstheme="minorHAnsi"/>
          <w:b/>
        </w:rPr>
        <w:t>Rubrique « Financement Doctoral »</w:t>
      </w:r>
    </w:p>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b/>
        </w:rPr>
      </w:pPr>
      <w:r w:rsidRPr="00DE2F91">
        <w:rPr>
          <w:rFonts w:asciiTheme="minorHAnsi" w:hAnsiTheme="minorHAnsi" w:cstheme="minorHAnsi"/>
          <w:b/>
        </w:rPr>
        <w:t>Laboratoire Microorganismes : Génome et Environnement (LMGE), UMR CNRS 6023</w:t>
      </w:r>
    </w:p>
    <w:p w:rsidR="00DE2F91" w:rsidRPr="00DE2F91" w:rsidRDefault="00DE2F91" w:rsidP="00363C0D">
      <w:pPr>
        <w:jc w:val="center"/>
        <w:rPr>
          <w:rFonts w:asciiTheme="minorHAnsi" w:hAnsiTheme="minorHAnsi" w:cstheme="minorHAnsi"/>
          <w:b/>
        </w:rPr>
      </w:pPr>
      <w:r w:rsidRPr="00DE2F91">
        <w:rPr>
          <w:rFonts w:asciiTheme="minorHAnsi" w:hAnsiTheme="minorHAnsi" w:cstheme="minorHAnsi"/>
          <w:b/>
        </w:rPr>
        <w:t>Université Clermont Auvergne (UCA)</w:t>
      </w:r>
    </w:p>
    <w:p w:rsidR="00DE2F91" w:rsidRPr="00DE2F91" w:rsidRDefault="00363C0D" w:rsidP="00363C0D">
      <w:pPr>
        <w:jc w:val="center"/>
        <w:rPr>
          <w:rFonts w:asciiTheme="minorHAnsi" w:hAnsiTheme="minorHAnsi" w:cstheme="minorHAnsi"/>
        </w:rPr>
      </w:pPr>
      <w:hyperlink r:id="rId5" w:history="1">
        <w:r w:rsidR="00DE2F91" w:rsidRPr="00DE2F91">
          <w:rPr>
            <w:rStyle w:val="Lienhypertexte"/>
            <w:rFonts w:asciiTheme="minorHAnsi" w:hAnsiTheme="minorHAnsi" w:cstheme="minorHAnsi"/>
          </w:rPr>
          <w:t>http://www.lmge.univ-bpclermont.fr/</w:t>
        </w:r>
      </w:hyperlink>
      <w:r w:rsidR="00DE2F91" w:rsidRPr="00DE2F91">
        <w:rPr>
          <w:rFonts w:asciiTheme="minorHAnsi" w:hAnsiTheme="minorHAnsi" w:cstheme="minorHAnsi"/>
        </w:rPr>
        <w:t xml:space="preserve"> </w:t>
      </w:r>
    </w:p>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b/>
        </w:rPr>
      </w:pPr>
    </w:p>
    <w:p w:rsidR="00DE2F91" w:rsidRPr="00DE2F91" w:rsidRDefault="00DE2F91" w:rsidP="00363C0D">
      <w:pPr>
        <w:jc w:val="center"/>
        <w:rPr>
          <w:rFonts w:asciiTheme="minorHAnsi" w:hAnsiTheme="minorHAnsi" w:cstheme="minorHAnsi"/>
        </w:rPr>
      </w:pPr>
      <w:r w:rsidRPr="00DE2F91">
        <w:rPr>
          <w:rFonts w:asciiTheme="minorHAnsi" w:hAnsiTheme="minorHAnsi" w:cstheme="minorHAnsi"/>
          <w:b/>
        </w:rPr>
        <w:t xml:space="preserve">Directeur du laboratoire - </w:t>
      </w:r>
      <w:r w:rsidRPr="00DE2F91">
        <w:rPr>
          <w:rFonts w:asciiTheme="minorHAnsi" w:hAnsiTheme="minorHAnsi" w:cstheme="minorHAnsi"/>
        </w:rPr>
        <w:t>Télesphore SIME-NGANDO</w:t>
      </w:r>
    </w:p>
    <w:p w:rsidR="00DE2F91" w:rsidRPr="00DE2F91" w:rsidRDefault="00363C0D" w:rsidP="00363C0D">
      <w:pPr>
        <w:jc w:val="center"/>
        <w:rPr>
          <w:rFonts w:asciiTheme="minorHAnsi" w:hAnsiTheme="minorHAnsi" w:cstheme="minorHAnsi"/>
        </w:rPr>
      </w:pPr>
      <w:hyperlink r:id="rId6" w:history="1">
        <w:r w:rsidR="00DE2F91" w:rsidRPr="00DE2F91">
          <w:rPr>
            <w:rStyle w:val="Lienhypertexte"/>
            <w:rFonts w:asciiTheme="minorHAnsi" w:hAnsiTheme="minorHAnsi" w:cstheme="minorHAnsi"/>
          </w:rPr>
          <w:t>telesphore.sime-ngando@univ-bpclermont.fr</w:t>
        </w:r>
      </w:hyperlink>
      <w:r w:rsidR="00DE2F91" w:rsidRPr="00DE2F91">
        <w:rPr>
          <w:rFonts w:asciiTheme="minorHAnsi" w:hAnsiTheme="minorHAnsi" w:cstheme="minorHAnsi"/>
        </w:rPr>
        <w:t xml:space="preserve"> </w:t>
      </w:r>
    </w:p>
    <w:p w:rsidR="00DE2F91" w:rsidRPr="00DE2F91" w:rsidRDefault="00DE2F91" w:rsidP="00363C0D">
      <w:pPr>
        <w:jc w:val="center"/>
        <w:rPr>
          <w:rFonts w:asciiTheme="minorHAnsi" w:hAnsiTheme="minorHAnsi" w:cstheme="minorHAnsi"/>
        </w:rPr>
      </w:pPr>
      <w:r w:rsidRPr="00DE2F91">
        <w:rPr>
          <w:rFonts w:asciiTheme="minorHAnsi" w:hAnsiTheme="minorHAnsi" w:cstheme="minorHAnsi"/>
        </w:rPr>
        <w:t xml:space="preserve"> </w:t>
      </w:r>
    </w:p>
    <w:p w:rsidR="00DE2F91" w:rsidRPr="00DE2F91" w:rsidRDefault="00DE2F91" w:rsidP="00363C0D">
      <w:pPr>
        <w:spacing w:after="200" w:line="276" w:lineRule="auto"/>
        <w:rPr>
          <w:rFonts w:asciiTheme="minorHAnsi" w:hAnsiTheme="minorHAnsi" w:cs="Arial"/>
          <w:b/>
          <w:sz w:val="20"/>
        </w:rPr>
      </w:pPr>
      <w:r w:rsidRPr="00DE2F91">
        <w:rPr>
          <w:rFonts w:asciiTheme="minorHAnsi" w:hAnsiTheme="minorHAnsi" w:cs="Arial"/>
          <w:b/>
          <w:i/>
          <w:sz w:val="20"/>
        </w:rPr>
        <w:br w:type="page"/>
      </w:r>
    </w:p>
    <w:p w:rsidR="007A028B" w:rsidRPr="002A2174" w:rsidRDefault="007A028B" w:rsidP="00363C0D">
      <w:pPr>
        <w:pStyle w:val="Corpsdetexte"/>
        <w:tabs>
          <w:tab w:val="left" w:pos="1560"/>
        </w:tabs>
        <w:rPr>
          <w:rFonts w:ascii="Arial" w:hAnsi="Arial" w:cs="Arial"/>
          <w:i w:val="0"/>
          <w:sz w:val="20"/>
        </w:rPr>
      </w:pPr>
      <w:r w:rsidRPr="002A2174">
        <w:rPr>
          <w:rFonts w:ascii="Arial" w:hAnsi="Arial" w:cs="Arial"/>
          <w:b/>
          <w:i w:val="0"/>
          <w:sz w:val="20"/>
        </w:rPr>
        <w:lastRenderedPageBreak/>
        <w:t xml:space="preserve">Directeur de thèse : </w:t>
      </w:r>
      <w:r w:rsidRPr="002A2174">
        <w:rPr>
          <w:rFonts w:ascii="Arial" w:hAnsi="Arial" w:cs="Arial"/>
          <w:i w:val="0"/>
          <w:sz w:val="20"/>
        </w:rPr>
        <w:t xml:space="preserve">Christine </w:t>
      </w:r>
      <w:proofErr w:type="spellStart"/>
      <w:r w:rsidRPr="002A2174">
        <w:rPr>
          <w:rFonts w:ascii="Arial" w:hAnsi="Arial" w:cs="Arial"/>
          <w:i w:val="0"/>
          <w:sz w:val="20"/>
        </w:rPr>
        <w:t>Archimbaud</w:t>
      </w:r>
      <w:proofErr w:type="spellEnd"/>
      <w:r w:rsidRPr="002A2174">
        <w:rPr>
          <w:rFonts w:ascii="Arial" w:hAnsi="Arial" w:cs="Arial"/>
          <w:i w:val="0"/>
          <w:sz w:val="20"/>
        </w:rPr>
        <w:t xml:space="preserve"> (MCU-HDR), </w:t>
      </w:r>
      <w:hyperlink r:id="rId7" w:history="1">
        <w:r w:rsidR="00363C0D" w:rsidRPr="00FF45EF">
          <w:rPr>
            <w:rStyle w:val="Lienhypertexte"/>
            <w:rFonts w:ascii="Arial" w:hAnsi="Arial" w:cs="Arial"/>
            <w:i w:val="0"/>
            <w:sz w:val="20"/>
          </w:rPr>
          <w:t>christine.archimbaud@uca.fr</w:t>
        </w:r>
      </w:hyperlink>
      <w:r w:rsidR="00363C0D">
        <w:rPr>
          <w:rFonts w:ascii="Arial" w:hAnsi="Arial" w:cs="Arial"/>
          <w:i w:val="0"/>
          <w:sz w:val="20"/>
          <w:u w:val="single"/>
        </w:rPr>
        <w:t xml:space="preserve"> </w:t>
      </w:r>
    </w:p>
    <w:p w:rsidR="007A028B" w:rsidRPr="002A2174" w:rsidRDefault="007A028B" w:rsidP="00363C0D">
      <w:pPr>
        <w:pStyle w:val="Corpsdetexte"/>
        <w:tabs>
          <w:tab w:val="left" w:pos="1560"/>
        </w:tabs>
        <w:rPr>
          <w:rFonts w:ascii="Arial" w:hAnsi="Arial" w:cs="Arial"/>
          <w:b/>
          <w:i w:val="0"/>
          <w:noProof/>
          <w:sz w:val="20"/>
        </w:rPr>
      </w:pPr>
    </w:p>
    <w:p w:rsidR="007A028B" w:rsidRPr="002A2174" w:rsidRDefault="007A028B" w:rsidP="00363C0D">
      <w:pPr>
        <w:tabs>
          <w:tab w:val="left" w:pos="280"/>
          <w:tab w:val="left" w:pos="580"/>
          <w:tab w:val="left" w:pos="1560"/>
        </w:tabs>
        <w:jc w:val="both"/>
        <w:rPr>
          <w:rFonts w:ascii="Arial" w:hAnsi="Arial" w:cs="Arial"/>
          <w:b/>
          <w:sz w:val="20"/>
          <w:shd w:val="clear" w:color="auto" w:fill="FFFFFF"/>
        </w:rPr>
      </w:pPr>
      <w:r w:rsidRPr="002A2174">
        <w:rPr>
          <w:rFonts w:ascii="Arial" w:hAnsi="Arial" w:cs="Arial"/>
          <w:b/>
          <w:sz w:val="20"/>
          <w:shd w:val="clear" w:color="auto" w:fill="FFFFFF"/>
        </w:rPr>
        <w:t>Etude du tropisme des entérovirus pour les cellules leucocytaires du sang périphérique et d</w:t>
      </w:r>
      <w:r>
        <w:rPr>
          <w:rFonts w:ascii="Arial" w:hAnsi="Arial" w:cs="Arial"/>
          <w:b/>
          <w:sz w:val="20"/>
          <w:shd w:val="clear" w:color="auto" w:fill="FFFFFF"/>
        </w:rPr>
        <w:t>u</w:t>
      </w:r>
      <w:r w:rsidRPr="002A2174">
        <w:rPr>
          <w:rFonts w:ascii="Arial" w:hAnsi="Arial" w:cs="Arial"/>
          <w:b/>
          <w:sz w:val="20"/>
          <w:shd w:val="clear" w:color="auto" w:fill="FFFFFF"/>
        </w:rPr>
        <w:t xml:space="preserve"> franchissement </w:t>
      </w:r>
      <w:r>
        <w:rPr>
          <w:rFonts w:ascii="Arial" w:hAnsi="Arial" w:cs="Arial"/>
          <w:b/>
          <w:sz w:val="20"/>
          <w:shd w:val="clear" w:color="auto" w:fill="FFFFFF"/>
        </w:rPr>
        <w:t xml:space="preserve">de </w:t>
      </w:r>
      <w:r w:rsidRPr="002A2174">
        <w:rPr>
          <w:rFonts w:ascii="Arial" w:hAnsi="Arial" w:cs="Arial"/>
          <w:b/>
          <w:sz w:val="20"/>
          <w:shd w:val="clear" w:color="auto" w:fill="FFFFFF"/>
        </w:rPr>
        <w:t xml:space="preserve">la barrière sang-liquide cérébrospinal. </w:t>
      </w:r>
    </w:p>
    <w:p w:rsidR="007A028B" w:rsidRPr="002A2174" w:rsidRDefault="007A028B" w:rsidP="00363C0D">
      <w:pPr>
        <w:tabs>
          <w:tab w:val="left" w:pos="280"/>
          <w:tab w:val="left" w:pos="580"/>
          <w:tab w:val="left" w:pos="1560"/>
        </w:tabs>
        <w:jc w:val="both"/>
        <w:rPr>
          <w:rFonts w:ascii="Arial" w:hAnsi="Arial" w:cs="Arial"/>
          <w:b/>
          <w:sz w:val="20"/>
          <w:shd w:val="clear" w:color="auto" w:fill="FFFFFF"/>
        </w:rPr>
      </w:pPr>
    </w:p>
    <w:p w:rsidR="007A028B" w:rsidRPr="002A2174" w:rsidRDefault="007A028B" w:rsidP="00363C0D">
      <w:pPr>
        <w:tabs>
          <w:tab w:val="left" w:pos="280"/>
          <w:tab w:val="left" w:pos="580"/>
          <w:tab w:val="left" w:pos="1560"/>
        </w:tabs>
        <w:jc w:val="both"/>
        <w:rPr>
          <w:rFonts w:ascii="Arial" w:hAnsi="Arial" w:cs="Arial"/>
          <w:sz w:val="20"/>
        </w:rPr>
      </w:pPr>
      <w:r w:rsidRPr="002A2174">
        <w:rPr>
          <w:rFonts w:ascii="Arial" w:hAnsi="Arial" w:cs="Arial"/>
          <w:bCs/>
          <w:sz w:val="20"/>
        </w:rPr>
        <w:t xml:space="preserve">Les entérovirus se caractérisent par une grande diversité génétique (&gt;120 types) et représentent la principale étiologie des méningites aiguës chez les enfants et les adultes. Ces virus sont plus rarement associés à des encéphalites et des paralysies flasques. Le diagnostic des méningites à entérovirus repose sur la détection du génome viral dans le liquide </w:t>
      </w:r>
      <w:r>
        <w:rPr>
          <w:rFonts w:ascii="Arial" w:hAnsi="Arial" w:cs="Arial"/>
          <w:bCs/>
          <w:sz w:val="20"/>
        </w:rPr>
        <w:t>cérébro</w:t>
      </w:r>
      <w:r w:rsidRPr="002A2174">
        <w:rPr>
          <w:rFonts w:ascii="Arial" w:hAnsi="Arial" w:cs="Arial"/>
          <w:bCs/>
          <w:sz w:val="20"/>
        </w:rPr>
        <w:t xml:space="preserve">spinal. Les virus pénètrent </w:t>
      </w:r>
      <w:r w:rsidRPr="002A2174">
        <w:rPr>
          <w:rFonts w:ascii="Arial" w:hAnsi="Arial" w:cs="Arial"/>
          <w:sz w:val="20"/>
        </w:rPr>
        <w:t xml:space="preserve">par la muqueuse du pharynx, puis l’infection </w:t>
      </w:r>
      <w:r>
        <w:rPr>
          <w:rFonts w:ascii="Arial" w:hAnsi="Arial" w:cs="Arial"/>
          <w:sz w:val="20"/>
        </w:rPr>
        <w:t xml:space="preserve">est disséminée par la </w:t>
      </w:r>
      <w:r w:rsidRPr="002A2174">
        <w:rPr>
          <w:rFonts w:ascii="Arial" w:hAnsi="Arial" w:cs="Arial"/>
          <w:sz w:val="20"/>
        </w:rPr>
        <w:t>virémie</w:t>
      </w:r>
      <w:r>
        <w:rPr>
          <w:rFonts w:ascii="Arial" w:hAnsi="Arial" w:cs="Arial"/>
          <w:sz w:val="20"/>
        </w:rPr>
        <w:t xml:space="preserve"> à </w:t>
      </w:r>
      <w:r w:rsidRPr="002A2174">
        <w:rPr>
          <w:rFonts w:ascii="Arial" w:hAnsi="Arial" w:cs="Arial"/>
          <w:sz w:val="20"/>
        </w:rPr>
        <w:t xml:space="preserve">différents organes dont le système nerveux central (SNC) soit en franchissant la </w:t>
      </w:r>
      <w:r w:rsidRPr="002A2174">
        <w:rPr>
          <w:rFonts w:ascii="Arial" w:hAnsi="Arial" w:cs="Arial"/>
          <w:b/>
          <w:sz w:val="20"/>
        </w:rPr>
        <w:t>barrière hémato-encéphalique</w:t>
      </w:r>
      <w:r w:rsidRPr="002A2174">
        <w:rPr>
          <w:rFonts w:ascii="Arial" w:hAnsi="Arial" w:cs="Arial"/>
          <w:sz w:val="20"/>
        </w:rPr>
        <w:t xml:space="preserve"> (BHE) (via les cellules vasculaires cérébrales) soit la </w:t>
      </w:r>
      <w:r w:rsidRPr="002A2174">
        <w:rPr>
          <w:rFonts w:ascii="Arial" w:hAnsi="Arial" w:cs="Arial"/>
          <w:b/>
          <w:sz w:val="20"/>
        </w:rPr>
        <w:t>barrière sang-liquide cérébro-spinal</w:t>
      </w:r>
      <w:r w:rsidRPr="002A2174">
        <w:rPr>
          <w:rFonts w:ascii="Arial" w:hAnsi="Arial" w:cs="Arial"/>
          <w:sz w:val="20"/>
        </w:rPr>
        <w:t xml:space="preserve"> (via les plexus choroïdes).</w:t>
      </w:r>
    </w:p>
    <w:p w:rsidR="007A028B" w:rsidRPr="002A2174" w:rsidRDefault="007A028B" w:rsidP="00363C0D">
      <w:pPr>
        <w:tabs>
          <w:tab w:val="left" w:pos="280"/>
          <w:tab w:val="left" w:pos="580"/>
          <w:tab w:val="left" w:pos="1560"/>
        </w:tabs>
        <w:jc w:val="both"/>
        <w:rPr>
          <w:rFonts w:ascii="Arial" w:hAnsi="Arial" w:cs="Arial"/>
          <w:sz w:val="20"/>
        </w:rPr>
      </w:pPr>
    </w:p>
    <w:p w:rsidR="007A028B" w:rsidRPr="002A2174" w:rsidRDefault="007A028B" w:rsidP="00363C0D">
      <w:pPr>
        <w:tabs>
          <w:tab w:val="left" w:pos="280"/>
          <w:tab w:val="left" w:pos="580"/>
          <w:tab w:val="left" w:pos="1560"/>
        </w:tabs>
        <w:jc w:val="both"/>
        <w:rPr>
          <w:rFonts w:ascii="Arial" w:hAnsi="Arial" w:cs="Arial"/>
          <w:sz w:val="20"/>
        </w:rPr>
      </w:pPr>
      <w:r w:rsidRPr="002A2174">
        <w:rPr>
          <w:rFonts w:ascii="Arial" w:hAnsi="Arial" w:cs="Arial"/>
          <w:sz w:val="20"/>
        </w:rPr>
        <w:t xml:space="preserve">Le projet consistera d’une part à étudier le rôle de la virémie (incluant le </w:t>
      </w:r>
      <w:r w:rsidRPr="002A2174">
        <w:rPr>
          <w:rFonts w:ascii="Arial" w:hAnsi="Arial" w:cs="Arial"/>
          <w:b/>
          <w:bCs/>
          <w:sz w:val="20"/>
        </w:rPr>
        <w:t>tropisme et la réplication des entérovirus pour les cellules leucocytaires</w:t>
      </w:r>
      <w:r w:rsidRPr="002A2174">
        <w:rPr>
          <w:rFonts w:ascii="Arial" w:hAnsi="Arial" w:cs="Arial"/>
          <w:sz w:val="20"/>
        </w:rPr>
        <w:t xml:space="preserve"> du sang) dans le développement des manifestations neurologiques et d’autre part d’étudier le franchissement de la barrière </w:t>
      </w:r>
      <w:r w:rsidRPr="002A2174">
        <w:rPr>
          <w:rFonts w:ascii="Arial" w:hAnsi="Arial" w:cs="Arial"/>
          <w:b/>
          <w:sz w:val="20"/>
        </w:rPr>
        <w:t>sang-liquide cérébro-spinal</w:t>
      </w:r>
      <w:r w:rsidRPr="002A2174">
        <w:rPr>
          <w:rFonts w:ascii="Arial" w:hAnsi="Arial" w:cs="Arial"/>
          <w:sz w:val="20"/>
        </w:rPr>
        <w:t xml:space="preserve"> par les </w:t>
      </w:r>
      <w:proofErr w:type="gramStart"/>
      <w:r w:rsidRPr="002A2174">
        <w:rPr>
          <w:rFonts w:ascii="Arial" w:hAnsi="Arial" w:cs="Arial"/>
          <w:sz w:val="20"/>
        </w:rPr>
        <w:t>entérovirus  grâce</w:t>
      </w:r>
      <w:proofErr w:type="gramEnd"/>
      <w:r w:rsidRPr="002A2174">
        <w:rPr>
          <w:rFonts w:ascii="Arial" w:hAnsi="Arial" w:cs="Arial"/>
          <w:sz w:val="20"/>
        </w:rPr>
        <w:t xml:space="preserve"> au développement d’un modèle </w:t>
      </w:r>
      <w:r w:rsidRPr="002A2174">
        <w:rPr>
          <w:rFonts w:ascii="Arial" w:hAnsi="Arial" w:cs="Arial"/>
          <w:i/>
          <w:sz w:val="20"/>
        </w:rPr>
        <w:t>in vitro</w:t>
      </w:r>
      <w:r w:rsidRPr="002A2174">
        <w:rPr>
          <w:rFonts w:ascii="Arial" w:hAnsi="Arial" w:cs="Arial"/>
          <w:sz w:val="20"/>
        </w:rPr>
        <w:t xml:space="preserve"> d’épithélium choroïdien. </w:t>
      </w:r>
    </w:p>
    <w:p w:rsidR="007A028B" w:rsidRPr="002A2174" w:rsidRDefault="007A028B" w:rsidP="00363C0D">
      <w:pPr>
        <w:pStyle w:val="rprtbody"/>
        <w:tabs>
          <w:tab w:val="left" w:pos="1560"/>
        </w:tabs>
        <w:spacing w:before="0" w:beforeAutospacing="0" w:after="0" w:afterAutospacing="0"/>
        <w:jc w:val="both"/>
        <w:rPr>
          <w:rFonts w:ascii="Arial" w:hAnsi="Arial" w:cs="Arial"/>
          <w:b/>
          <w:bCs/>
          <w:sz w:val="20"/>
          <w:szCs w:val="20"/>
        </w:rPr>
      </w:pPr>
    </w:p>
    <w:p w:rsidR="00363C0D" w:rsidRDefault="00363C0D" w:rsidP="00363C0D">
      <w:pPr>
        <w:pStyle w:val="rprtbody"/>
        <w:tabs>
          <w:tab w:val="left" w:pos="1560"/>
        </w:tabs>
        <w:spacing w:before="0" w:beforeAutospacing="0" w:after="0" w:afterAutospacing="0"/>
        <w:jc w:val="both"/>
        <w:rPr>
          <w:rFonts w:ascii="Arial" w:hAnsi="Arial" w:cs="Arial"/>
          <w:bCs/>
          <w:sz w:val="20"/>
          <w:szCs w:val="20"/>
          <w:lang w:val="en-US"/>
        </w:rPr>
      </w:pPr>
    </w:p>
    <w:p w:rsidR="007A028B" w:rsidRPr="002A2174" w:rsidRDefault="007A028B" w:rsidP="00363C0D">
      <w:pPr>
        <w:pStyle w:val="rprtbody"/>
        <w:tabs>
          <w:tab w:val="left" w:pos="1560"/>
        </w:tabs>
        <w:spacing w:before="0" w:beforeAutospacing="0" w:after="0" w:afterAutospacing="0"/>
        <w:jc w:val="both"/>
        <w:rPr>
          <w:rFonts w:ascii="Arial" w:hAnsi="Arial" w:cs="Arial"/>
          <w:sz w:val="20"/>
          <w:szCs w:val="20"/>
          <w:lang w:val="en-US"/>
        </w:rPr>
      </w:pPr>
      <w:proofErr w:type="spellStart"/>
      <w:r w:rsidRPr="002A2174">
        <w:rPr>
          <w:rFonts w:ascii="Arial" w:hAnsi="Arial" w:cs="Arial"/>
          <w:bCs/>
          <w:sz w:val="20"/>
          <w:szCs w:val="20"/>
          <w:lang w:val="en-US"/>
        </w:rPr>
        <w:t>Volle</w:t>
      </w:r>
      <w:proofErr w:type="spellEnd"/>
      <w:r w:rsidRPr="002A2174">
        <w:rPr>
          <w:rFonts w:ascii="Arial" w:hAnsi="Arial" w:cs="Arial"/>
          <w:bCs/>
          <w:sz w:val="20"/>
          <w:szCs w:val="20"/>
          <w:lang w:val="en-US"/>
        </w:rPr>
        <w:t xml:space="preserve"> et al (2015).</w:t>
      </w:r>
      <w:r w:rsidRPr="002A2174">
        <w:rPr>
          <w:rFonts w:ascii="Arial" w:hAnsi="Arial" w:cs="Arial"/>
          <w:sz w:val="20"/>
          <w:szCs w:val="20"/>
          <w:lang w:val="en-US"/>
        </w:rPr>
        <w:t xml:space="preserve"> Differential </w:t>
      </w:r>
      <w:proofErr w:type="spellStart"/>
      <w:r w:rsidRPr="002A2174">
        <w:rPr>
          <w:rFonts w:ascii="Arial" w:hAnsi="Arial" w:cs="Arial"/>
          <w:sz w:val="20"/>
          <w:szCs w:val="20"/>
          <w:lang w:val="en-US"/>
        </w:rPr>
        <w:t>permissivity</w:t>
      </w:r>
      <w:proofErr w:type="spellEnd"/>
      <w:r w:rsidRPr="002A2174">
        <w:rPr>
          <w:rFonts w:ascii="Arial" w:hAnsi="Arial" w:cs="Arial"/>
          <w:sz w:val="20"/>
          <w:szCs w:val="20"/>
          <w:lang w:val="en-US"/>
        </w:rPr>
        <w:t xml:space="preserve"> of human cerebrovascular endothelial cells to enterovirus infection and specificities of enterovirus 71 in crossing an </w:t>
      </w:r>
      <w:r w:rsidRPr="002A2174">
        <w:rPr>
          <w:rFonts w:ascii="Arial" w:hAnsi="Arial" w:cs="Arial"/>
          <w:i/>
          <w:sz w:val="20"/>
          <w:szCs w:val="20"/>
          <w:lang w:val="en-US"/>
        </w:rPr>
        <w:t>in vitro</w:t>
      </w:r>
      <w:r w:rsidRPr="002A2174">
        <w:rPr>
          <w:rFonts w:ascii="Arial" w:hAnsi="Arial" w:cs="Arial"/>
          <w:sz w:val="20"/>
          <w:szCs w:val="20"/>
          <w:lang w:val="en-US"/>
        </w:rPr>
        <w:t xml:space="preserve"> model of human blood brain barrier. </w:t>
      </w:r>
      <w:r w:rsidRPr="002A2174">
        <w:rPr>
          <w:rFonts w:ascii="Arial" w:hAnsi="Arial" w:cs="Arial"/>
          <w:bCs/>
          <w:sz w:val="20"/>
          <w:szCs w:val="20"/>
          <w:lang w:val="en-US"/>
        </w:rPr>
        <w:t xml:space="preserve">J Gen </w:t>
      </w:r>
      <w:proofErr w:type="spellStart"/>
      <w:r w:rsidRPr="002A2174">
        <w:rPr>
          <w:rFonts w:ascii="Arial" w:hAnsi="Arial" w:cs="Arial"/>
          <w:bCs/>
          <w:sz w:val="20"/>
          <w:szCs w:val="20"/>
          <w:lang w:val="en-US"/>
        </w:rPr>
        <w:t>Virol</w:t>
      </w:r>
      <w:proofErr w:type="spellEnd"/>
      <w:r w:rsidRPr="002A2174">
        <w:rPr>
          <w:rFonts w:ascii="Arial" w:hAnsi="Arial" w:cs="Arial"/>
          <w:sz w:val="20"/>
          <w:szCs w:val="20"/>
          <w:lang w:val="en-US"/>
        </w:rPr>
        <w:t>. 96: 1682-95.</w:t>
      </w:r>
    </w:p>
    <w:p w:rsidR="007A028B" w:rsidRPr="002A2174" w:rsidRDefault="007A028B" w:rsidP="00363C0D">
      <w:pPr>
        <w:pStyle w:val="rprtbody"/>
        <w:tabs>
          <w:tab w:val="left" w:pos="1560"/>
        </w:tabs>
        <w:spacing w:before="0" w:beforeAutospacing="0" w:after="0" w:afterAutospacing="0"/>
        <w:jc w:val="both"/>
        <w:rPr>
          <w:rFonts w:ascii="Arial" w:hAnsi="Arial" w:cs="Arial"/>
          <w:sz w:val="10"/>
          <w:szCs w:val="20"/>
          <w:lang w:val="en-US"/>
        </w:rPr>
      </w:pPr>
      <w:r w:rsidRPr="002A2174">
        <w:rPr>
          <w:rFonts w:ascii="Arial" w:hAnsi="Arial" w:cs="Arial"/>
          <w:sz w:val="10"/>
          <w:szCs w:val="20"/>
          <w:lang w:val="en-US"/>
        </w:rPr>
        <w:t xml:space="preserve"> </w:t>
      </w:r>
    </w:p>
    <w:p w:rsidR="007A028B" w:rsidRDefault="007A028B" w:rsidP="00363C0D">
      <w:pPr>
        <w:rPr>
          <w:rFonts w:ascii="Arial" w:hAnsi="Arial" w:cs="Arial"/>
          <w:sz w:val="20"/>
        </w:rPr>
      </w:pPr>
      <w:proofErr w:type="spellStart"/>
      <w:r w:rsidRPr="002A2174">
        <w:rPr>
          <w:rFonts w:ascii="Arial" w:hAnsi="Arial" w:cs="Arial"/>
          <w:sz w:val="20"/>
          <w:lang w:val="en-GB"/>
        </w:rPr>
        <w:t>Lafolie</w:t>
      </w:r>
      <w:proofErr w:type="spellEnd"/>
      <w:r w:rsidRPr="002A2174">
        <w:rPr>
          <w:rFonts w:ascii="Arial" w:hAnsi="Arial" w:cs="Arial"/>
          <w:sz w:val="20"/>
          <w:lang w:val="en-GB"/>
        </w:rPr>
        <w:t xml:space="preserve"> et al (2018).</w:t>
      </w:r>
      <w:r w:rsidRPr="002A2174">
        <w:rPr>
          <w:rFonts w:ascii="Arial" w:hAnsi="Arial" w:cs="Arial"/>
          <w:b/>
          <w:sz w:val="20"/>
          <w:lang w:val="en-GB"/>
        </w:rPr>
        <w:t xml:space="preserve"> </w:t>
      </w:r>
      <w:r w:rsidRPr="002A2174">
        <w:rPr>
          <w:rFonts w:ascii="Arial" w:hAnsi="Arial" w:cs="Arial"/>
          <w:sz w:val="20"/>
          <w:lang w:val="en-GB"/>
        </w:rPr>
        <w:t xml:space="preserve">Assessment of blood enterovirus PCR testing in paediatric populations with fever without source, sepsis-like disease, or suspected meningitis: a prospective, multicentre, observational cohort study. </w:t>
      </w:r>
      <w:r w:rsidRPr="002A2174">
        <w:rPr>
          <w:rFonts w:ascii="Arial" w:hAnsi="Arial" w:cs="Arial"/>
          <w:sz w:val="20"/>
        </w:rPr>
        <w:t xml:space="preserve">Lancet Infect Dis. </w:t>
      </w:r>
      <w:proofErr w:type="gramStart"/>
      <w:r w:rsidRPr="002A2174">
        <w:rPr>
          <w:rFonts w:ascii="Arial" w:hAnsi="Arial" w:cs="Arial"/>
          <w:sz w:val="20"/>
        </w:rPr>
        <w:t>18:</w:t>
      </w:r>
      <w:proofErr w:type="gramEnd"/>
      <w:r w:rsidRPr="002A2174">
        <w:rPr>
          <w:rFonts w:ascii="Arial" w:hAnsi="Arial" w:cs="Arial"/>
          <w:sz w:val="20"/>
        </w:rPr>
        <w:t>1385-96</w:t>
      </w:r>
    </w:p>
    <w:p w:rsidR="007A028B" w:rsidRDefault="007A028B" w:rsidP="00363C0D">
      <w:pPr>
        <w:spacing w:after="200" w:line="276" w:lineRule="auto"/>
        <w:rPr>
          <w:rFonts w:ascii="Arial" w:hAnsi="Arial" w:cs="Arial"/>
          <w:sz w:val="20"/>
        </w:rPr>
      </w:pPr>
      <w:r>
        <w:rPr>
          <w:rFonts w:ascii="Arial" w:hAnsi="Arial" w:cs="Arial"/>
          <w:sz w:val="20"/>
        </w:rPr>
        <w:br w:type="page"/>
      </w:r>
    </w:p>
    <w:p w:rsidR="007A028B" w:rsidRPr="00EC146C" w:rsidRDefault="007A028B" w:rsidP="00363C0D">
      <w:pPr>
        <w:pStyle w:val="Corpsdetexte"/>
        <w:tabs>
          <w:tab w:val="left" w:pos="1560"/>
        </w:tabs>
        <w:rPr>
          <w:rFonts w:ascii="Arial" w:hAnsi="Arial" w:cs="Arial"/>
          <w:b/>
          <w:i w:val="0"/>
          <w:sz w:val="20"/>
        </w:rPr>
      </w:pPr>
      <w:r w:rsidRPr="00EC146C">
        <w:rPr>
          <w:rFonts w:ascii="Arial" w:hAnsi="Arial" w:cs="Arial"/>
          <w:b/>
          <w:i w:val="0"/>
          <w:sz w:val="20"/>
        </w:rPr>
        <w:lastRenderedPageBreak/>
        <w:t xml:space="preserve">Directeur de thèse : </w:t>
      </w:r>
      <w:r>
        <w:rPr>
          <w:rFonts w:ascii="Arial" w:hAnsi="Arial" w:cs="Arial"/>
          <w:i w:val="0"/>
          <w:sz w:val="20"/>
        </w:rPr>
        <w:t>Joan Artigas</w:t>
      </w:r>
      <w:r w:rsidRPr="00EC146C">
        <w:rPr>
          <w:rFonts w:ascii="Arial" w:hAnsi="Arial" w:cs="Arial"/>
          <w:i w:val="0"/>
          <w:sz w:val="20"/>
        </w:rPr>
        <w:t xml:space="preserve"> (MCU-HDR) </w:t>
      </w:r>
    </w:p>
    <w:p w:rsidR="007A028B" w:rsidRDefault="007A028B" w:rsidP="00363C0D">
      <w:pPr>
        <w:pStyle w:val="Corpsdetexte"/>
        <w:tabs>
          <w:tab w:val="left" w:pos="1560"/>
        </w:tabs>
      </w:pPr>
      <w:hyperlink r:id="rId8" w:history="1">
        <w:r w:rsidRPr="00362FC1">
          <w:rPr>
            <w:rStyle w:val="Lienhypertexte"/>
          </w:rPr>
          <w:t>Joan.artigas_alejo</w:t>
        </w:r>
        <w:r w:rsidRPr="00362FC1">
          <w:rPr>
            <w:rStyle w:val="Lienhypertexte"/>
            <w:rFonts w:ascii="Calibri" w:hAnsi="Calibri" w:cs="Calibri"/>
          </w:rPr>
          <w:t>@</w:t>
        </w:r>
        <w:r w:rsidRPr="00362FC1">
          <w:rPr>
            <w:rStyle w:val="Lienhypertexte"/>
          </w:rPr>
          <w:t>uca.fr</w:t>
        </w:r>
      </w:hyperlink>
    </w:p>
    <w:p w:rsidR="007A028B" w:rsidRPr="00EC146C" w:rsidRDefault="007A028B" w:rsidP="00363C0D">
      <w:pPr>
        <w:pStyle w:val="Corpsdetexte"/>
        <w:tabs>
          <w:tab w:val="left" w:pos="1560"/>
        </w:tabs>
        <w:ind w:firstLine="708"/>
        <w:rPr>
          <w:rFonts w:ascii="Arial" w:hAnsi="Arial" w:cs="Arial"/>
          <w:b/>
          <w:i w:val="0"/>
          <w:noProof/>
          <w:sz w:val="20"/>
        </w:rPr>
      </w:pPr>
    </w:p>
    <w:p w:rsidR="007A028B" w:rsidRDefault="007A028B" w:rsidP="00363C0D">
      <w:pPr>
        <w:pStyle w:val="Corpsdetexte"/>
        <w:tabs>
          <w:tab w:val="left" w:pos="1560"/>
        </w:tabs>
        <w:rPr>
          <w:rStyle w:val="mediumtext1"/>
          <w:rFonts w:ascii="Arial" w:hAnsi="Arial" w:cs="Arial"/>
          <w:b/>
          <w:sz w:val="20"/>
          <w:shd w:val="clear" w:color="auto" w:fill="FFFFFF"/>
        </w:rPr>
      </w:pPr>
      <w:r>
        <w:rPr>
          <w:rStyle w:val="mediumtext1"/>
          <w:rFonts w:ascii="Arial" w:hAnsi="Arial" w:cs="Arial"/>
          <w:b/>
          <w:sz w:val="20"/>
          <w:shd w:val="clear" w:color="auto" w:fill="FFFFFF"/>
        </w:rPr>
        <w:t>Impact et devenir de la contamination plastique dans les écosystèmes de rivière</w:t>
      </w:r>
    </w:p>
    <w:p w:rsidR="007A028B" w:rsidRDefault="007A028B" w:rsidP="00363C0D">
      <w:pPr>
        <w:pStyle w:val="Corpsdetexte"/>
        <w:rPr>
          <w:rFonts w:ascii="Arial" w:hAnsi="Arial" w:cs="Arial"/>
          <w:i w:val="0"/>
          <w:sz w:val="20"/>
        </w:rPr>
      </w:pPr>
    </w:p>
    <w:p w:rsidR="007A028B" w:rsidRDefault="007A028B" w:rsidP="00363C0D">
      <w:pPr>
        <w:pStyle w:val="Corpsdetexte"/>
        <w:rPr>
          <w:rFonts w:ascii="Arial" w:hAnsi="Arial" w:cs="Arial"/>
          <w:i w:val="0"/>
          <w:sz w:val="20"/>
        </w:rPr>
      </w:pPr>
      <w:r w:rsidRPr="00172099">
        <w:rPr>
          <w:rFonts w:ascii="Arial" w:hAnsi="Arial" w:cs="Arial"/>
          <w:i w:val="0"/>
          <w:sz w:val="20"/>
        </w:rPr>
        <w:t>Le tourisme de montagne se concentre dans les espaces naturels à fort intérêt, tels</w:t>
      </w:r>
      <w:r>
        <w:rPr>
          <w:rFonts w:ascii="Arial" w:hAnsi="Arial" w:cs="Arial"/>
          <w:i w:val="0"/>
          <w:sz w:val="20"/>
        </w:rPr>
        <w:t xml:space="preserve"> que</w:t>
      </w:r>
      <w:r w:rsidRPr="00172099">
        <w:rPr>
          <w:rFonts w:ascii="Arial" w:hAnsi="Arial" w:cs="Arial"/>
          <w:i w:val="0"/>
          <w:sz w:val="20"/>
        </w:rPr>
        <w:t xml:space="preserve"> les parcs naturels et les zones </w:t>
      </w:r>
      <w:proofErr w:type="spellStart"/>
      <w:r w:rsidRPr="00172099">
        <w:rPr>
          <w:rFonts w:ascii="Arial" w:hAnsi="Arial" w:cs="Arial"/>
          <w:i w:val="0"/>
          <w:sz w:val="20"/>
        </w:rPr>
        <w:t>Natura</w:t>
      </w:r>
      <w:proofErr w:type="spellEnd"/>
      <w:r w:rsidRPr="00172099">
        <w:rPr>
          <w:rFonts w:ascii="Arial" w:hAnsi="Arial" w:cs="Arial"/>
          <w:i w:val="0"/>
          <w:sz w:val="20"/>
        </w:rPr>
        <w:t xml:space="preserve"> 2000. Les </w:t>
      </w:r>
      <w:r>
        <w:rPr>
          <w:rFonts w:ascii="Arial" w:hAnsi="Arial" w:cs="Arial"/>
          <w:i w:val="0"/>
          <w:sz w:val="20"/>
        </w:rPr>
        <w:t>cours d’eau</w:t>
      </w:r>
      <w:r w:rsidRPr="00172099">
        <w:rPr>
          <w:rFonts w:ascii="Arial" w:hAnsi="Arial" w:cs="Arial"/>
          <w:i w:val="0"/>
          <w:sz w:val="20"/>
        </w:rPr>
        <w:t xml:space="preserve"> de montagne </w:t>
      </w:r>
      <w:r>
        <w:rPr>
          <w:rFonts w:ascii="Arial" w:hAnsi="Arial" w:cs="Arial"/>
          <w:i w:val="0"/>
          <w:sz w:val="20"/>
        </w:rPr>
        <w:t xml:space="preserve">traversant ces espaces s’avèrent très vulnérables aux pollutions d’origine anthropique, et plus précisément, à celles apportées par les déchets plastiques. </w:t>
      </w:r>
      <w:r w:rsidRPr="00172099">
        <w:rPr>
          <w:rFonts w:ascii="Arial" w:hAnsi="Arial" w:cs="Arial"/>
          <w:i w:val="0"/>
          <w:sz w:val="20"/>
        </w:rPr>
        <w:t xml:space="preserve">L’objectif principal de cette </w:t>
      </w:r>
      <w:r>
        <w:rPr>
          <w:rFonts w:ascii="Arial" w:hAnsi="Arial" w:cs="Arial"/>
          <w:i w:val="0"/>
          <w:sz w:val="20"/>
        </w:rPr>
        <w:t>thèse</w:t>
      </w:r>
      <w:r w:rsidRPr="00172099">
        <w:rPr>
          <w:rFonts w:ascii="Arial" w:hAnsi="Arial" w:cs="Arial"/>
          <w:i w:val="0"/>
          <w:sz w:val="20"/>
        </w:rPr>
        <w:t xml:space="preserve"> </w:t>
      </w:r>
      <w:r>
        <w:rPr>
          <w:rFonts w:ascii="Arial" w:hAnsi="Arial" w:cs="Arial"/>
          <w:i w:val="0"/>
          <w:sz w:val="20"/>
        </w:rPr>
        <w:t xml:space="preserve">sera donc </w:t>
      </w:r>
      <w:r w:rsidRPr="00172099">
        <w:rPr>
          <w:rFonts w:ascii="Arial" w:hAnsi="Arial" w:cs="Arial"/>
          <w:i w:val="0"/>
          <w:sz w:val="20"/>
        </w:rPr>
        <w:t>d’évaluer l’impact de</w:t>
      </w:r>
      <w:r>
        <w:rPr>
          <w:rFonts w:ascii="Arial" w:hAnsi="Arial" w:cs="Arial"/>
          <w:i w:val="0"/>
          <w:sz w:val="20"/>
        </w:rPr>
        <w:t xml:space="preserve"> ces contaminations plastiques sur le fonctionnement des cours d’eau de montagne, et plus spécifiquement, leur capacité de recyclage des matériaux entrants et leur possible colonisation par les microorganismes.</w:t>
      </w:r>
      <w:r w:rsidRPr="000A79DA">
        <w:rPr>
          <w:rFonts w:ascii="Arial" w:hAnsi="Arial" w:cs="Arial"/>
          <w:i w:val="0"/>
          <w:sz w:val="20"/>
        </w:rPr>
        <w:t xml:space="preserve"> </w:t>
      </w:r>
      <w:r>
        <w:rPr>
          <w:rFonts w:ascii="Arial" w:hAnsi="Arial" w:cs="Arial"/>
          <w:i w:val="0"/>
          <w:sz w:val="20"/>
        </w:rPr>
        <w:t xml:space="preserve">Une deuxième étude s’intéressera à la biodégradation microbienne des bioplastiques dégradables et faiblement dégradables soumis (ou non) à un vieillissement accéléré en conditions contrôlées de laboratoire. L’étude des souches microbiennes ayant une capacité accrue de décomposition de ces matériaux plastiques sera poursuivie afin de caractériser la/les voies métaboliques impliquées. Une troisième étude visera à déterminer l’évolution du potentiel microbien de dégradation des plastiques dans un contexte de changement climatique. Pour ce faire, une expérience en microcosmes testera l’effet du réchauffement climatique et de l’assèchement sur la capacité des biofilms issus des cours d’eau de montagne à dégrader les plastiques. </w:t>
      </w:r>
    </w:p>
    <w:p w:rsidR="007A028B" w:rsidRDefault="007A028B" w:rsidP="00363C0D">
      <w:pPr>
        <w:pStyle w:val="Corpsdetexte"/>
        <w:rPr>
          <w:rFonts w:ascii="Arial" w:hAnsi="Arial" w:cs="Arial"/>
          <w:i w:val="0"/>
          <w:sz w:val="20"/>
        </w:rPr>
      </w:pPr>
    </w:p>
    <w:p w:rsidR="00363C0D" w:rsidRDefault="00363C0D" w:rsidP="00363C0D">
      <w:pPr>
        <w:rPr>
          <w:rFonts w:ascii="Arial" w:hAnsi="Arial" w:cs="Arial"/>
          <w:sz w:val="20"/>
          <w:lang w:val="en-US"/>
        </w:rPr>
      </w:pPr>
    </w:p>
    <w:p w:rsidR="00967AAE" w:rsidRDefault="007A028B" w:rsidP="00363C0D">
      <w:pPr>
        <w:rPr>
          <w:rStyle w:val="Lienhypertexte"/>
          <w:rFonts w:ascii="Arial" w:hAnsi="Arial" w:cs="Arial"/>
          <w:color w:val="auto"/>
          <w:sz w:val="20"/>
          <w:u w:val="none"/>
          <w:lang w:val="en-GB"/>
        </w:rPr>
      </w:pPr>
      <w:proofErr w:type="spellStart"/>
      <w:r w:rsidRPr="00A211E4">
        <w:rPr>
          <w:rFonts w:ascii="Arial" w:hAnsi="Arial" w:cs="Arial"/>
          <w:sz w:val="20"/>
          <w:lang w:val="en-US"/>
        </w:rPr>
        <w:t>Carles</w:t>
      </w:r>
      <w:proofErr w:type="spellEnd"/>
      <w:r w:rsidRPr="00A211E4">
        <w:rPr>
          <w:rFonts w:ascii="Arial" w:hAnsi="Arial" w:cs="Arial"/>
          <w:sz w:val="20"/>
          <w:lang w:val="en-US"/>
        </w:rPr>
        <w:t xml:space="preserve"> L, Artigas J (2020) </w:t>
      </w:r>
      <w:r w:rsidRPr="00A211E4">
        <w:rPr>
          <w:rStyle w:val="title-text"/>
          <w:rFonts w:ascii="Arial" w:hAnsi="Arial" w:cs="Arial"/>
          <w:sz w:val="20"/>
          <w:lang w:val="en-GB"/>
        </w:rPr>
        <w:t xml:space="preserve">Interaction between glyphosate and dissolved phosphorus on bacterial and eukaryotic communities from river biofilms. Science of the Total Environment, </w:t>
      </w:r>
      <w:hyperlink r:id="rId9" w:tgtFrame="_blank" w:tooltip="Persistent link using digital object identifier" w:history="1">
        <w:r w:rsidRPr="00A211E4">
          <w:rPr>
            <w:rStyle w:val="Lienhypertexte"/>
            <w:rFonts w:ascii="Arial" w:hAnsi="Arial" w:cs="Arial"/>
            <w:color w:val="auto"/>
            <w:sz w:val="20"/>
            <w:u w:val="none"/>
            <w:lang w:val="en-GB"/>
          </w:rPr>
          <w:t>doi.org/10.1016/j.scitotenv.2020.137463</w:t>
        </w:r>
      </w:hyperlink>
    </w:p>
    <w:p w:rsidR="00967AAE" w:rsidRDefault="00967AAE" w:rsidP="00363C0D">
      <w:pPr>
        <w:spacing w:after="200" w:line="276" w:lineRule="auto"/>
        <w:rPr>
          <w:rStyle w:val="Lienhypertexte"/>
          <w:rFonts w:ascii="Arial" w:hAnsi="Arial" w:cs="Arial"/>
          <w:color w:val="auto"/>
          <w:sz w:val="20"/>
          <w:u w:val="none"/>
          <w:lang w:val="en-GB"/>
        </w:rPr>
      </w:pPr>
      <w:r>
        <w:rPr>
          <w:rStyle w:val="Lienhypertexte"/>
          <w:rFonts w:ascii="Arial" w:hAnsi="Arial" w:cs="Arial"/>
          <w:color w:val="auto"/>
          <w:sz w:val="20"/>
          <w:u w:val="none"/>
          <w:lang w:val="en-GB"/>
        </w:rPr>
        <w:br w:type="page"/>
      </w:r>
    </w:p>
    <w:p w:rsidR="00967AAE" w:rsidRPr="00194537" w:rsidRDefault="00967AAE" w:rsidP="00363C0D">
      <w:pPr>
        <w:pStyle w:val="Corpsdetexte"/>
        <w:tabs>
          <w:tab w:val="left" w:pos="1560"/>
        </w:tabs>
        <w:rPr>
          <w:rFonts w:ascii="Arial" w:hAnsi="Arial" w:cs="Arial"/>
          <w:b/>
          <w:i w:val="0"/>
          <w:sz w:val="20"/>
        </w:rPr>
      </w:pPr>
      <w:r w:rsidRPr="00194537">
        <w:rPr>
          <w:rFonts w:ascii="Arial" w:hAnsi="Arial" w:cs="Arial"/>
          <w:b/>
          <w:i w:val="0"/>
          <w:sz w:val="20"/>
        </w:rPr>
        <w:lastRenderedPageBreak/>
        <w:t xml:space="preserve">Directeur de thèse : </w:t>
      </w:r>
      <w:r w:rsidRPr="00194537">
        <w:rPr>
          <w:rFonts w:ascii="Arial" w:hAnsi="Arial" w:cs="Arial"/>
          <w:i w:val="0"/>
          <w:sz w:val="20"/>
        </w:rPr>
        <w:t xml:space="preserve">Isabelle </w:t>
      </w:r>
      <w:proofErr w:type="spellStart"/>
      <w:r w:rsidRPr="00194537">
        <w:rPr>
          <w:rFonts w:ascii="Arial" w:hAnsi="Arial" w:cs="Arial"/>
          <w:i w:val="0"/>
          <w:sz w:val="20"/>
        </w:rPr>
        <w:t>Batisson</w:t>
      </w:r>
      <w:proofErr w:type="spellEnd"/>
      <w:r w:rsidRPr="00194537">
        <w:rPr>
          <w:rFonts w:ascii="Arial" w:hAnsi="Arial" w:cs="Arial"/>
          <w:i w:val="0"/>
          <w:sz w:val="20"/>
        </w:rPr>
        <w:t xml:space="preserve"> (MCU-HDR), </w:t>
      </w:r>
      <w:proofErr w:type="spellStart"/>
      <w:r w:rsidRPr="00194537">
        <w:rPr>
          <w:rFonts w:ascii="Arial" w:hAnsi="Arial" w:cs="Arial"/>
          <w:i w:val="0"/>
          <w:sz w:val="20"/>
        </w:rPr>
        <w:t>co</w:t>
      </w:r>
      <w:proofErr w:type="spellEnd"/>
      <w:r w:rsidRPr="00194537">
        <w:rPr>
          <w:rFonts w:ascii="Arial" w:hAnsi="Arial" w:cs="Arial"/>
          <w:i w:val="0"/>
          <w:sz w:val="20"/>
        </w:rPr>
        <w:t xml:space="preserve">-encadrant : Philippe Bouchard (MCU) </w:t>
      </w:r>
    </w:p>
    <w:p w:rsidR="00967AAE" w:rsidRPr="00194537" w:rsidRDefault="00363C0D" w:rsidP="00363C0D">
      <w:pPr>
        <w:pStyle w:val="Corpsdetexte"/>
        <w:tabs>
          <w:tab w:val="left" w:pos="1560"/>
        </w:tabs>
        <w:rPr>
          <w:rFonts w:ascii="Arial" w:hAnsi="Arial" w:cs="Arial"/>
          <w:i w:val="0"/>
          <w:sz w:val="20"/>
        </w:rPr>
      </w:pPr>
      <w:hyperlink r:id="rId10" w:history="1">
        <w:r w:rsidRPr="00FF45EF">
          <w:rPr>
            <w:rStyle w:val="Lienhypertexte"/>
            <w:rFonts w:ascii="Arial" w:hAnsi="Arial" w:cs="Arial"/>
            <w:i w:val="0"/>
            <w:sz w:val="20"/>
          </w:rPr>
          <w:t>Isabelle.Batisson@uca.fr</w:t>
        </w:r>
      </w:hyperlink>
      <w:r>
        <w:rPr>
          <w:rFonts w:ascii="Arial" w:hAnsi="Arial" w:cs="Arial"/>
          <w:i w:val="0"/>
          <w:sz w:val="20"/>
        </w:rPr>
        <w:t xml:space="preserve"> </w:t>
      </w:r>
    </w:p>
    <w:p w:rsidR="00967AAE" w:rsidRPr="00194537" w:rsidRDefault="00967AAE" w:rsidP="00363C0D">
      <w:pPr>
        <w:pStyle w:val="Corpsdetexte"/>
        <w:tabs>
          <w:tab w:val="left" w:pos="1560"/>
        </w:tabs>
        <w:rPr>
          <w:rFonts w:ascii="Arial" w:hAnsi="Arial" w:cs="Arial"/>
          <w:sz w:val="20"/>
        </w:rPr>
      </w:pPr>
    </w:p>
    <w:p w:rsidR="00967AAE" w:rsidRPr="00194537" w:rsidRDefault="00967AAE" w:rsidP="00363C0D">
      <w:pPr>
        <w:jc w:val="both"/>
        <w:rPr>
          <w:rFonts w:ascii="Arial" w:hAnsi="Arial" w:cs="Arial"/>
          <w:b/>
          <w:sz w:val="20"/>
        </w:rPr>
      </w:pPr>
      <w:r w:rsidRPr="00194537">
        <w:rPr>
          <w:rFonts w:ascii="Arial" w:hAnsi="Arial" w:cs="Arial"/>
          <w:b/>
          <w:sz w:val="20"/>
        </w:rPr>
        <w:t xml:space="preserve">Recherche de nouveaux biomarqueurs d’exposition ou d’effet des phytosanitaires par une approche </w:t>
      </w:r>
      <w:proofErr w:type="spellStart"/>
      <w:r w:rsidRPr="00194537">
        <w:rPr>
          <w:rFonts w:ascii="Arial" w:hAnsi="Arial" w:cs="Arial"/>
          <w:b/>
          <w:sz w:val="20"/>
        </w:rPr>
        <w:t>écotoxicogénomique</w:t>
      </w:r>
      <w:proofErr w:type="spellEnd"/>
      <w:r w:rsidRPr="00194537">
        <w:rPr>
          <w:rFonts w:ascii="Arial" w:hAnsi="Arial" w:cs="Arial"/>
          <w:b/>
          <w:sz w:val="20"/>
        </w:rPr>
        <w:t> : étude du champ a l’assiette.</w:t>
      </w:r>
    </w:p>
    <w:p w:rsidR="00967AAE" w:rsidRPr="00194537" w:rsidRDefault="00967AAE" w:rsidP="00363C0D">
      <w:pPr>
        <w:pStyle w:val="Corpsdetexte"/>
        <w:tabs>
          <w:tab w:val="left" w:pos="1560"/>
        </w:tabs>
        <w:rPr>
          <w:rFonts w:ascii="Arial" w:hAnsi="Arial" w:cs="Arial"/>
          <w:i w:val="0"/>
          <w:sz w:val="20"/>
        </w:rPr>
      </w:pPr>
    </w:p>
    <w:p w:rsidR="00967AAE" w:rsidRPr="00194537" w:rsidRDefault="00967AAE" w:rsidP="00363C0D">
      <w:pPr>
        <w:jc w:val="both"/>
        <w:rPr>
          <w:rFonts w:ascii="Arial" w:hAnsi="Arial" w:cs="Arial"/>
          <w:sz w:val="20"/>
        </w:rPr>
      </w:pPr>
      <w:r w:rsidRPr="00194537">
        <w:rPr>
          <w:rFonts w:ascii="Arial" w:hAnsi="Arial" w:cs="Arial"/>
          <w:sz w:val="20"/>
        </w:rPr>
        <w:t xml:space="preserve">Les outils disponibles pour évaluer l’impact </w:t>
      </w:r>
      <w:proofErr w:type="spellStart"/>
      <w:r w:rsidRPr="00194537">
        <w:rPr>
          <w:rFonts w:ascii="Arial" w:hAnsi="Arial" w:cs="Arial"/>
          <w:sz w:val="20"/>
        </w:rPr>
        <w:t>écotoxicologique</w:t>
      </w:r>
      <w:proofErr w:type="spellEnd"/>
      <w:r w:rsidRPr="00194537">
        <w:rPr>
          <w:rFonts w:ascii="Arial" w:hAnsi="Arial" w:cs="Arial"/>
          <w:sz w:val="20"/>
        </w:rPr>
        <w:t xml:space="preserve"> des pesticides représentent un enjeu important. Une recherche exploratoire menée selon une approche </w:t>
      </w:r>
      <w:proofErr w:type="spellStart"/>
      <w:r w:rsidRPr="00194537">
        <w:rPr>
          <w:rFonts w:ascii="Arial" w:hAnsi="Arial" w:cs="Arial"/>
          <w:sz w:val="20"/>
        </w:rPr>
        <w:t>écotoxicogénomique</w:t>
      </w:r>
      <w:proofErr w:type="spellEnd"/>
      <w:r w:rsidRPr="00194537">
        <w:rPr>
          <w:rFonts w:ascii="Arial" w:hAnsi="Arial" w:cs="Arial"/>
          <w:sz w:val="20"/>
        </w:rPr>
        <w:t xml:space="preserve"> permet le développement de méthodologies analytiques alternatives basées sur les technologies « </w:t>
      </w:r>
      <w:proofErr w:type="spellStart"/>
      <w:r w:rsidRPr="00194537">
        <w:rPr>
          <w:rFonts w:ascii="Arial" w:hAnsi="Arial" w:cs="Arial"/>
          <w:sz w:val="20"/>
        </w:rPr>
        <w:t>omiques</w:t>
      </w:r>
      <w:proofErr w:type="spellEnd"/>
      <w:r w:rsidRPr="00194537">
        <w:rPr>
          <w:rFonts w:ascii="Arial" w:hAnsi="Arial" w:cs="Arial"/>
          <w:sz w:val="20"/>
        </w:rPr>
        <w:t xml:space="preserve"> ». </w:t>
      </w:r>
      <w:r w:rsidRPr="00194537">
        <w:rPr>
          <w:rFonts w:ascii="Arial" w:hAnsi="Arial" w:cs="Arial"/>
          <w:sz w:val="20"/>
        </w:rPr>
        <w:cr/>
        <w:t xml:space="preserve">Il ne s'agit donc plus de quantifier des résidus de produits phytosanitaires mais de mesurer le niveau d’exposition d’organismes sentinelles des différents compartiments de l’environnement. A partir de banques de réponses métaboliques obtenues dans des conditions contrôlées cas / témoin de contamination, on recherchera des signatures </w:t>
      </w:r>
      <w:proofErr w:type="spellStart"/>
      <w:r w:rsidRPr="00194537">
        <w:rPr>
          <w:rFonts w:ascii="Arial" w:hAnsi="Arial" w:cs="Arial"/>
          <w:sz w:val="20"/>
        </w:rPr>
        <w:t>volatolomiques</w:t>
      </w:r>
      <w:proofErr w:type="spellEnd"/>
      <w:r w:rsidRPr="00194537">
        <w:rPr>
          <w:rFonts w:ascii="Arial" w:hAnsi="Arial" w:cs="Arial"/>
          <w:sz w:val="20"/>
        </w:rPr>
        <w:t xml:space="preserve"> révélatrices de l’exposition/effet aux insecticides. Le projet fait suite aux résultats obtenus par Hidalgo et al, (2018) et propose de compléter et analyser l’ensemble des données issues d’un continuum biologique représenté par des espèces modèles ou sentinelles (microorganismes, insectes, vertébrés). </w:t>
      </w:r>
    </w:p>
    <w:p w:rsidR="00967AAE" w:rsidRPr="00194537" w:rsidRDefault="00967AAE" w:rsidP="00363C0D">
      <w:pPr>
        <w:jc w:val="both"/>
        <w:rPr>
          <w:rFonts w:ascii="Arial" w:hAnsi="Arial" w:cs="Arial"/>
          <w:sz w:val="20"/>
        </w:rPr>
      </w:pPr>
      <w:r w:rsidRPr="00194537">
        <w:rPr>
          <w:rFonts w:ascii="Arial" w:hAnsi="Arial" w:cs="Arial"/>
          <w:sz w:val="20"/>
        </w:rPr>
        <w:t xml:space="preserve">Le projet combine une approche analytique non ciblée (déviation du </w:t>
      </w:r>
      <w:proofErr w:type="spellStart"/>
      <w:r w:rsidRPr="00194537">
        <w:rPr>
          <w:rFonts w:ascii="Arial" w:hAnsi="Arial" w:cs="Arial"/>
          <w:sz w:val="20"/>
        </w:rPr>
        <w:t>métabolome</w:t>
      </w:r>
      <w:proofErr w:type="spellEnd"/>
      <w:r w:rsidRPr="00194537">
        <w:rPr>
          <w:rFonts w:ascii="Arial" w:hAnsi="Arial" w:cs="Arial"/>
          <w:sz w:val="20"/>
        </w:rPr>
        <w:t xml:space="preserve">) et une approche post génomique ciblée sur le gène </w:t>
      </w:r>
      <w:proofErr w:type="spellStart"/>
      <w:r w:rsidRPr="00194537">
        <w:rPr>
          <w:rFonts w:ascii="Arial" w:hAnsi="Arial" w:cs="Arial"/>
          <w:i/>
          <w:sz w:val="20"/>
        </w:rPr>
        <w:t>tspo</w:t>
      </w:r>
      <w:proofErr w:type="spellEnd"/>
      <w:r w:rsidRPr="00194537">
        <w:rPr>
          <w:rFonts w:ascii="Arial" w:hAnsi="Arial" w:cs="Arial"/>
          <w:sz w:val="20"/>
        </w:rPr>
        <w:t xml:space="preserve"> présent dans tous les taxons du vivant. </w:t>
      </w:r>
    </w:p>
    <w:p w:rsidR="00967AAE" w:rsidRPr="00194537" w:rsidRDefault="00967AAE" w:rsidP="00363C0D">
      <w:pPr>
        <w:jc w:val="both"/>
        <w:rPr>
          <w:rFonts w:ascii="Arial" w:eastAsia="Calibri" w:hAnsi="Arial" w:cs="Arial"/>
          <w:sz w:val="20"/>
          <w:lang w:eastAsia="en-US"/>
        </w:rPr>
      </w:pPr>
      <w:r w:rsidRPr="00194537">
        <w:rPr>
          <w:rFonts w:ascii="Arial" w:hAnsi="Arial" w:cs="Arial"/>
          <w:sz w:val="20"/>
        </w:rPr>
        <w:t>A terme, il s’agira de d</w:t>
      </w:r>
      <w:r w:rsidRPr="00194537">
        <w:rPr>
          <w:rFonts w:ascii="Arial" w:eastAsia="Calibri" w:hAnsi="Arial" w:cs="Arial"/>
          <w:sz w:val="20"/>
          <w:lang w:eastAsia="en-US"/>
        </w:rPr>
        <w:t xml:space="preserve">éterminer l’intérêt de marqueurs fonctionnels sensibles aux pesticides et plus précisément aux insecticides </w:t>
      </w:r>
      <w:proofErr w:type="spellStart"/>
      <w:r w:rsidRPr="00194537">
        <w:rPr>
          <w:rFonts w:ascii="Arial" w:eastAsia="Calibri" w:hAnsi="Arial" w:cs="Arial"/>
          <w:sz w:val="20"/>
          <w:lang w:eastAsia="en-US"/>
        </w:rPr>
        <w:t>pyréthrinoïdes</w:t>
      </w:r>
      <w:proofErr w:type="spellEnd"/>
      <w:r w:rsidRPr="00194537">
        <w:rPr>
          <w:rFonts w:ascii="Arial" w:eastAsia="Calibri" w:hAnsi="Arial" w:cs="Arial"/>
          <w:sz w:val="20"/>
          <w:lang w:eastAsia="en-US"/>
        </w:rPr>
        <w:t xml:space="preserve"> pour construire une image </w:t>
      </w:r>
      <w:proofErr w:type="spellStart"/>
      <w:r w:rsidRPr="00194537">
        <w:rPr>
          <w:rFonts w:ascii="Arial" w:eastAsia="Calibri" w:hAnsi="Arial" w:cs="Arial"/>
          <w:sz w:val="20"/>
          <w:lang w:eastAsia="en-US"/>
        </w:rPr>
        <w:t>panspécifique</w:t>
      </w:r>
      <w:proofErr w:type="spellEnd"/>
      <w:r w:rsidRPr="00194537">
        <w:rPr>
          <w:rFonts w:ascii="Arial" w:eastAsia="Calibri" w:hAnsi="Arial" w:cs="Arial"/>
          <w:sz w:val="20"/>
          <w:lang w:eastAsia="en-US"/>
        </w:rPr>
        <w:t xml:space="preserve"> de leur écotoxicité.</w:t>
      </w:r>
    </w:p>
    <w:p w:rsidR="00967AAE" w:rsidRPr="00194537" w:rsidRDefault="00967AAE" w:rsidP="00363C0D">
      <w:pPr>
        <w:pStyle w:val="Corpsdetexte"/>
        <w:tabs>
          <w:tab w:val="left" w:pos="1560"/>
        </w:tabs>
        <w:rPr>
          <w:rFonts w:ascii="Arial" w:hAnsi="Arial" w:cs="Arial"/>
          <w:sz w:val="20"/>
        </w:rPr>
      </w:pPr>
    </w:p>
    <w:p w:rsidR="00967AAE" w:rsidRDefault="00967AAE" w:rsidP="00363C0D">
      <w:pPr>
        <w:pStyle w:val="Corpsdetexte"/>
        <w:tabs>
          <w:tab w:val="left" w:pos="1560"/>
        </w:tabs>
        <w:rPr>
          <w:rFonts w:ascii="Arial" w:hAnsi="Arial" w:cs="Arial"/>
          <w:i w:val="0"/>
          <w:sz w:val="20"/>
        </w:rPr>
      </w:pPr>
      <w:r w:rsidRPr="00194537">
        <w:rPr>
          <w:rFonts w:ascii="Arial" w:hAnsi="Arial" w:cs="Arial"/>
          <w:i w:val="0"/>
          <w:sz w:val="20"/>
        </w:rPr>
        <w:t>Mots clés : pesticides, (éco)</w:t>
      </w:r>
      <w:proofErr w:type="spellStart"/>
      <w:r w:rsidRPr="00194537">
        <w:rPr>
          <w:rFonts w:ascii="Arial" w:hAnsi="Arial" w:cs="Arial"/>
          <w:i w:val="0"/>
          <w:sz w:val="20"/>
        </w:rPr>
        <w:t>toxicogénomique</w:t>
      </w:r>
      <w:proofErr w:type="spellEnd"/>
      <w:r w:rsidRPr="00194537">
        <w:rPr>
          <w:rFonts w:ascii="Arial" w:hAnsi="Arial" w:cs="Arial"/>
          <w:i w:val="0"/>
          <w:sz w:val="20"/>
        </w:rPr>
        <w:t>, biomarqueurs, composés volatiles, expression de gènes, spectrométrie de masse.</w:t>
      </w:r>
    </w:p>
    <w:p w:rsidR="00967AAE" w:rsidRPr="00194537" w:rsidRDefault="00967AAE" w:rsidP="00363C0D">
      <w:pPr>
        <w:pStyle w:val="Corpsdetexte"/>
        <w:tabs>
          <w:tab w:val="left" w:pos="1560"/>
        </w:tabs>
        <w:rPr>
          <w:rFonts w:ascii="Arial" w:hAnsi="Arial" w:cs="Arial"/>
          <w:i w:val="0"/>
          <w:sz w:val="20"/>
        </w:rPr>
      </w:pPr>
    </w:p>
    <w:p w:rsidR="006102A3" w:rsidRDefault="00967AAE" w:rsidP="00363C0D">
      <w:pPr>
        <w:rPr>
          <w:rFonts w:ascii="Arial" w:hAnsi="Arial" w:cs="Arial"/>
          <w:sz w:val="20"/>
        </w:rPr>
      </w:pPr>
      <w:r w:rsidRPr="00716147">
        <w:rPr>
          <w:rFonts w:ascii="Arial" w:hAnsi="Arial" w:cs="Arial"/>
          <w:b/>
          <w:sz w:val="20"/>
          <w:lang w:val="en-US"/>
        </w:rPr>
        <w:t>Hidalgo, et al. (2018)</w:t>
      </w:r>
      <w:r w:rsidRPr="00716147">
        <w:rPr>
          <w:rFonts w:ascii="Arial" w:hAnsi="Arial" w:cs="Arial"/>
          <w:sz w:val="20"/>
          <w:lang w:val="en-US"/>
        </w:rPr>
        <w:t xml:space="preserve">. </w:t>
      </w:r>
      <w:proofErr w:type="spellStart"/>
      <w:r w:rsidRPr="00716147">
        <w:rPr>
          <w:rFonts w:ascii="Arial" w:hAnsi="Arial" w:cs="Arial"/>
          <w:sz w:val="20"/>
          <w:lang w:val="en-US"/>
        </w:rPr>
        <w:t>Volatolomics</w:t>
      </w:r>
      <w:proofErr w:type="spellEnd"/>
      <w:r w:rsidRPr="00716147">
        <w:rPr>
          <w:rFonts w:ascii="Arial" w:hAnsi="Arial" w:cs="Arial"/>
          <w:sz w:val="20"/>
          <w:lang w:val="en-US"/>
        </w:rPr>
        <w:t xml:space="preserve"> in bacterial ecotoxicology, a novel method for detecting signatures of pesticide exposure? </w:t>
      </w:r>
      <w:proofErr w:type="spellStart"/>
      <w:r w:rsidRPr="00194537">
        <w:rPr>
          <w:rFonts w:ascii="Arial" w:hAnsi="Arial" w:cs="Arial"/>
          <w:sz w:val="20"/>
        </w:rPr>
        <w:t>Frontiers</w:t>
      </w:r>
      <w:proofErr w:type="spellEnd"/>
      <w:r w:rsidRPr="00194537">
        <w:rPr>
          <w:rFonts w:ascii="Arial" w:hAnsi="Arial" w:cs="Arial"/>
          <w:sz w:val="20"/>
        </w:rPr>
        <w:t xml:space="preserve"> In </w:t>
      </w:r>
      <w:proofErr w:type="spellStart"/>
      <w:r w:rsidRPr="00194537">
        <w:rPr>
          <w:rFonts w:ascii="Arial" w:hAnsi="Arial" w:cs="Arial"/>
          <w:sz w:val="20"/>
        </w:rPr>
        <w:t>Microbiology</w:t>
      </w:r>
      <w:proofErr w:type="spellEnd"/>
      <w:r w:rsidRPr="00194537">
        <w:rPr>
          <w:rFonts w:ascii="Arial" w:hAnsi="Arial" w:cs="Arial"/>
          <w:sz w:val="20"/>
        </w:rPr>
        <w:t>, 9, 3113</w:t>
      </w:r>
    </w:p>
    <w:p w:rsidR="006102A3" w:rsidRDefault="006102A3" w:rsidP="00363C0D">
      <w:pPr>
        <w:spacing w:after="200" w:line="276" w:lineRule="auto"/>
        <w:rPr>
          <w:rFonts w:ascii="Arial" w:hAnsi="Arial" w:cs="Arial"/>
          <w:sz w:val="20"/>
        </w:rPr>
      </w:pPr>
      <w:r>
        <w:rPr>
          <w:rFonts w:ascii="Arial" w:hAnsi="Arial" w:cs="Arial"/>
          <w:sz w:val="20"/>
        </w:rPr>
        <w:br w:type="page"/>
      </w:r>
    </w:p>
    <w:p w:rsidR="006102A3" w:rsidRPr="00AD50A6" w:rsidRDefault="006102A3" w:rsidP="00363C0D">
      <w:pPr>
        <w:pStyle w:val="Corpsdetexte"/>
        <w:tabs>
          <w:tab w:val="left" w:pos="1560"/>
        </w:tabs>
        <w:rPr>
          <w:rFonts w:ascii="Arial" w:hAnsi="Arial" w:cs="Arial"/>
          <w:b/>
          <w:i w:val="0"/>
          <w:sz w:val="20"/>
        </w:rPr>
      </w:pPr>
      <w:r w:rsidRPr="00AD50A6">
        <w:rPr>
          <w:rFonts w:ascii="Arial" w:hAnsi="Arial" w:cs="Arial"/>
          <w:b/>
          <w:i w:val="0"/>
          <w:sz w:val="20"/>
        </w:rPr>
        <w:lastRenderedPageBreak/>
        <w:t xml:space="preserve">Directeur de thèse : </w:t>
      </w:r>
      <w:r w:rsidRPr="00AD50A6">
        <w:rPr>
          <w:rFonts w:ascii="Arial" w:hAnsi="Arial" w:cs="Arial"/>
          <w:i w:val="0"/>
          <w:sz w:val="20"/>
        </w:rPr>
        <w:t xml:space="preserve">Alexandre Bec (MCU-HDR), </w:t>
      </w:r>
      <w:r w:rsidRPr="00AD50A6">
        <w:rPr>
          <w:rFonts w:ascii="Arial" w:hAnsi="Arial" w:cs="Arial"/>
          <w:b/>
          <w:i w:val="0"/>
          <w:sz w:val="20"/>
        </w:rPr>
        <w:t>Co-encadrant :</w:t>
      </w:r>
      <w:r w:rsidRPr="00AD50A6">
        <w:rPr>
          <w:rFonts w:ascii="Arial" w:hAnsi="Arial" w:cs="Arial"/>
          <w:i w:val="0"/>
          <w:sz w:val="20"/>
        </w:rPr>
        <w:t xml:space="preserve"> </w:t>
      </w:r>
      <w:proofErr w:type="spellStart"/>
      <w:r w:rsidRPr="00AD50A6">
        <w:rPr>
          <w:rFonts w:ascii="Arial" w:hAnsi="Arial" w:cs="Arial"/>
          <w:i w:val="0"/>
          <w:sz w:val="20"/>
        </w:rPr>
        <w:t>Apostolos</w:t>
      </w:r>
      <w:proofErr w:type="spellEnd"/>
      <w:r w:rsidRPr="00AD50A6">
        <w:rPr>
          <w:rFonts w:ascii="Arial" w:hAnsi="Arial" w:cs="Arial"/>
          <w:i w:val="0"/>
          <w:sz w:val="20"/>
        </w:rPr>
        <w:t xml:space="preserve">-Manuel </w:t>
      </w:r>
      <w:proofErr w:type="spellStart"/>
      <w:r w:rsidRPr="00AD50A6">
        <w:rPr>
          <w:rFonts w:ascii="Arial" w:hAnsi="Arial" w:cs="Arial"/>
          <w:i w:val="0"/>
          <w:sz w:val="20"/>
        </w:rPr>
        <w:t>Koussoroplis</w:t>
      </w:r>
      <w:proofErr w:type="spellEnd"/>
      <w:r w:rsidRPr="00AD50A6">
        <w:rPr>
          <w:rFonts w:ascii="Arial" w:hAnsi="Arial" w:cs="Arial"/>
          <w:i w:val="0"/>
          <w:sz w:val="20"/>
        </w:rPr>
        <w:t xml:space="preserve"> (MCU) </w:t>
      </w:r>
    </w:p>
    <w:p w:rsidR="006102A3" w:rsidRPr="00AD50A6" w:rsidRDefault="006102A3" w:rsidP="00363C0D">
      <w:pPr>
        <w:pStyle w:val="Corpsdetexte"/>
        <w:tabs>
          <w:tab w:val="left" w:pos="1560"/>
        </w:tabs>
        <w:rPr>
          <w:rFonts w:ascii="Arial" w:hAnsi="Arial" w:cs="Arial"/>
          <w:i w:val="0"/>
          <w:sz w:val="20"/>
        </w:rPr>
      </w:pPr>
      <w:hyperlink r:id="rId11" w:history="1">
        <w:r w:rsidRPr="00AD50A6">
          <w:rPr>
            <w:rStyle w:val="Lienhypertexte"/>
            <w:rFonts w:ascii="Arial" w:hAnsi="Arial" w:cs="Arial"/>
            <w:i w:val="0"/>
            <w:sz w:val="20"/>
          </w:rPr>
          <w:t>alexandre.bec@uca.fr</w:t>
        </w:r>
      </w:hyperlink>
      <w:r w:rsidRPr="00AD50A6">
        <w:rPr>
          <w:rFonts w:ascii="Arial" w:hAnsi="Arial" w:cs="Arial"/>
          <w:i w:val="0"/>
          <w:sz w:val="20"/>
        </w:rPr>
        <w:t xml:space="preserve"> , </w:t>
      </w:r>
      <w:hyperlink r:id="rId12" w:history="1">
        <w:r w:rsidRPr="00AD50A6">
          <w:rPr>
            <w:rStyle w:val="Lienhypertexte"/>
            <w:rFonts w:ascii="Arial" w:hAnsi="Arial" w:cs="Arial"/>
            <w:i w:val="0"/>
            <w:sz w:val="20"/>
          </w:rPr>
          <w:t>a-manuel.koussoroplis@uca.fr</w:t>
        </w:r>
      </w:hyperlink>
      <w:r w:rsidRPr="00AD50A6">
        <w:rPr>
          <w:rFonts w:ascii="Arial" w:hAnsi="Arial" w:cs="Arial"/>
          <w:i w:val="0"/>
          <w:sz w:val="20"/>
        </w:rPr>
        <w:t xml:space="preserve"> </w:t>
      </w:r>
    </w:p>
    <w:p w:rsidR="006102A3" w:rsidRPr="00AD50A6" w:rsidRDefault="006102A3" w:rsidP="00363C0D">
      <w:pPr>
        <w:pStyle w:val="Corpsdetexte"/>
        <w:tabs>
          <w:tab w:val="left" w:pos="1560"/>
        </w:tabs>
        <w:rPr>
          <w:rFonts w:ascii="Arial" w:hAnsi="Arial" w:cs="Arial"/>
          <w:i w:val="0"/>
          <w:sz w:val="20"/>
        </w:rPr>
      </w:pPr>
    </w:p>
    <w:p w:rsidR="006102A3" w:rsidRPr="00AD50A6" w:rsidRDefault="006102A3" w:rsidP="00363C0D">
      <w:pPr>
        <w:pStyle w:val="Corpsdetexte"/>
        <w:tabs>
          <w:tab w:val="left" w:pos="1560"/>
        </w:tabs>
        <w:rPr>
          <w:rFonts w:ascii="Arial" w:hAnsi="Arial" w:cs="Arial"/>
          <w:b/>
          <w:i w:val="0"/>
          <w:sz w:val="20"/>
        </w:rPr>
      </w:pPr>
      <w:r w:rsidRPr="00AD50A6">
        <w:rPr>
          <w:rFonts w:ascii="Arial" w:hAnsi="Arial" w:cs="Arial"/>
          <w:b/>
          <w:i w:val="0"/>
          <w:sz w:val="20"/>
        </w:rPr>
        <w:t>Effets combinés de la variabilité thermique et des contraintes nutritionnelles sur le fonctionnement et la production des milieux aquatiques</w:t>
      </w:r>
    </w:p>
    <w:p w:rsidR="006102A3" w:rsidRPr="00AD50A6" w:rsidRDefault="006102A3" w:rsidP="00363C0D">
      <w:pPr>
        <w:pStyle w:val="Corpsdetexte"/>
        <w:tabs>
          <w:tab w:val="left" w:pos="1560"/>
        </w:tabs>
        <w:rPr>
          <w:rFonts w:ascii="Arial" w:hAnsi="Arial" w:cs="Arial"/>
          <w:b/>
          <w:i w:val="0"/>
          <w:sz w:val="20"/>
        </w:rPr>
      </w:pPr>
    </w:p>
    <w:p w:rsidR="006102A3" w:rsidRPr="00AD50A6" w:rsidRDefault="006102A3" w:rsidP="00363C0D">
      <w:pPr>
        <w:pStyle w:val="Corpsdetexte"/>
        <w:tabs>
          <w:tab w:val="left" w:pos="1560"/>
        </w:tabs>
        <w:rPr>
          <w:rFonts w:ascii="Arial" w:hAnsi="Arial" w:cs="Arial"/>
          <w:i w:val="0"/>
          <w:sz w:val="20"/>
        </w:rPr>
      </w:pPr>
      <w:r w:rsidRPr="00AD50A6">
        <w:rPr>
          <w:rFonts w:ascii="Arial" w:hAnsi="Arial" w:cs="Arial"/>
          <w:i w:val="0"/>
          <w:sz w:val="20"/>
        </w:rPr>
        <w:t xml:space="preserve">Prédire l’évolution l’efficience du transfert trophique entre le phytoplancton et le zooplancton dans un contexte de réchauffement climatique est un enjeu majeur mais demeure une question complexe puisque la température affectant directement le taux métabolique des organismes aquatiques, va modifier d’une part, les besoins nutritionnels du zooplancton et d’autre part, les apports nutritionnels via son impact sur la dynamique et la composition taxonomique des communautés </w:t>
      </w:r>
      <w:proofErr w:type="spellStart"/>
      <w:r w:rsidRPr="00AD50A6">
        <w:rPr>
          <w:rFonts w:ascii="Arial" w:hAnsi="Arial" w:cs="Arial"/>
          <w:i w:val="0"/>
          <w:sz w:val="20"/>
        </w:rPr>
        <w:t>phytoplanctoniques</w:t>
      </w:r>
      <w:proofErr w:type="spellEnd"/>
      <w:r w:rsidRPr="00AD50A6">
        <w:rPr>
          <w:rFonts w:ascii="Arial" w:hAnsi="Arial" w:cs="Arial"/>
          <w:i w:val="0"/>
          <w:sz w:val="20"/>
        </w:rPr>
        <w:t xml:space="preserve">. Le sujet de thèse s’attaquera au verrou que constitue la prédiction de l’efficience du transfert trophique entre le phytoplancton et le zooplancton dans un contexte d’augmentation de la variabilité thermique par une combinaison d’approches expérimentales et théoriques. L’objectif sera d’isoler l’effet des différentes composantes de la variabilité thermique (moyenne, variance, autocorrélation) sur le taux métabolique et les traits d’histoire de vie du zooplancton et de quantifier l’effet de leurs combinaisons factorielles avec la qualité nutritionnelle du phytoplancton. Sur le plan expérimental et analytique, </w:t>
      </w:r>
      <w:proofErr w:type="gramStart"/>
      <w:r w:rsidRPr="00AD50A6">
        <w:rPr>
          <w:rFonts w:ascii="Arial" w:hAnsi="Arial" w:cs="Arial"/>
          <w:i w:val="0"/>
          <w:sz w:val="20"/>
        </w:rPr>
        <w:t>l’</w:t>
      </w:r>
      <w:proofErr w:type="spellStart"/>
      <w:r w:rsidRPr="00AD50A6">
        <w:rPr>
          <w:rFonts w:ascii="Arial" w:hAnsi="Arial" w:cs="Arial"/>
          <w:i w:val="0"/>
          <w:sz w:val="20"/>
        </w:rPr>
        <w:t>étudiant.e</w:t>
      </w:r>
      <w:proofErr w:type="spellEnd"/>
      <w:proofErr w:type="gramEnd"/>
      <w:r w:rsidRPr="00AD50A6">
        <w:rPr>
          <w:rFonts w:ascii="Arial" w:hAnsi="Arial" w:cs="Arial"/>
          <w:i w:val="0"/>
          <w:sz w:val="20"/>
        </w:rPr>
        <w:t xml:space="preserve"> bénéficiera de méthodologies innovantes telles que le microcalorimétrie pour la mesure du taux métabolique et d’approches de modélisation basées sur la Théorie des Budgets Dynamiques (DEB) actuellement développées dans l’équipe d’accueil.</w:t>
      </w:r>
    </w:p>
    <w:p w:rsidR="006102A3" w:rsidRPr="00C16F51" w:rsidRDefault="006102A3" w:rsidP="00363C0D">
      <w:pPr>
        <w:pStyle w:val="Corpsdetexte"/>
        <w:tabs>
          <w:tab w:val="left" w:pos="1560"/>
        </w:tabs>
        <w:rPr>
          <w:rFonts w:ascii="Arial" w:hAnsi="Arial" w:cs="Arial"/>
          <w:i w:val="0"/>
          <w:caps/>
          <w:sz w:val="20"/>
          <w:shd w:val="clear" w:color="auto" w:fill="FFFFFF"/>
        </w:rPr>
      </w:pPr>
    </w:p>
    <w:p w:rsidR="006102A3" w:rsidRPr="00AD50A6" w:rsidRDefault="006102A3" w:rsidP="00363C0D">
      <w:pPr>
        <w:pStyle w:val="Corpsdetexte"/>
        <w:tabs>
          <w:tab w:val="left" w:pos="1560"/>
        </w:tabs>
        <w:rPr>
          <w:rFonts w:ascii="Arial" w:hAnsi="Arial" w:cs="Arial"/>
          <w:i w:val="0"/>
          <w:color w:val="222222"/>
          <w:sz w:val="20"/>
          <w:shd w:val="clear" w:color="auto" w:fill="FFFFFF"/>
          <w:lang w:val="en-US"/>
        </w:rPr>
      </w:pPr>
      <w:r w:rsidRPr="00AD50A6">
        <w:rPr>
          <w:rFonts w:ascii="Arial" w:hAnsi="Arial" w:cs="Arial"/>
          <w:i w:val="0"/>
          <w:caps/>
          <w:sz w:val="20"/>
          <w:shd w:val="clear" w:color="auto" w:fill="FFFFFF"/>
          <w:lang w:val="en-US"/>
        </w:rPr>
        <w:t xml:space="preserve">Ruiz T. </w:t>
      </w:r>
      <w:r w:rsidRPr="00AD50A6">
        <w:rPr>
          <w:rFonts w:ascii="Arial" w:hAnsi="Arial" w:cs="Arial"/>
          <w:i w:val="0"/>
          <w:sz w:val="20"/>
          <w:shd w:val="clear" w:color="auto" w:fill="FFFFFF"/>
          <w:lang w:val="en-US"/>
        </w:rPr>
        <w:t>et al</w:t>
      </w:r>
      <w:r w:rsidRPr="00AD50A6">
        <w:rPr>
          <w:rFonts w:ascii="Arial" w:hAnsi="Arial" w:cs="Arial"/>
          <w:i w:val="0"/>
          <w:color w:val="222222"/>
          <w:sz w:val="20"/>
          <w:shd w:val="clear" w:color="auto" w:fill="FFFFFF"/>
          <w:lang w:val="en-US"/>
        </w:rPr>
        <w:t xml:space="preserve"> (</w:t>
      </w:r>
      <w:r w:rsidRPr="00AD50A6">
        <w:rPr>
          <w:rFonts w:ascii="Arial" w:hAnsi="Arial" w:cs="Arial"/>
          <w:b/>
          <w:i w:val="0"/>
          <w:color w:val="222222"/>
          <w:sz w:val="20"/>
          <w:shd w:val="clear" w:color="auto" w:fill="FFFFFF"/>
          <w:lang w:val="en-US"/>
        </w:rPr>
        <w:t>2018</w:t>
      </w:r>
      <w:r w:rsidRPr="00AD50A6">
        <w:rPr>
          <w:rFonts w:ascii="Arial" w:hAnsi="Arial" w:cs="Arial"/>
          <w:i w:val="0"/>
          <w:color w:val="222222"/>
          <w:sz w:val="20"/>
          <w:shd w:val="clear" w:color="auto" w:fill="FFFFFF"/>
          <w:lang w:val="en-US"/>
        </w:rPr>
        <w:t>)</w:t>
      </w:r>
      <w:r w:rsidRPr="00AD50A6">
        <w:rPr>
          <w:rFonts w:ascii="Arial" w:hAnsi="Arial" w:cs="Arial"/>
          <w:i w:val="0"/>
          <w:sz w:val="20"/>
          <w:lang w:val="en-US"/>
        </w:rPr>
        <w:t xml:space="preserve">. Ecology Letters 22(11): </w:t>
      </w:r>
      <w:r w:rsidRPr="00AD50A6">
        <w:rPr>
          <w:rFonts w:ascii="Arial" w:hAnsi="Arial" w:cs="Arial"/>
          <w:i w:val="0"/>
          <w:color w:val="222222"/>
          <w:sz w:val="20"/>
          <w:shd w:val="clear" w:color="auto" w:fill="FFFFFF"/>
          <w:lang w:val="en-US"/>
        </w:rPr>
        <w:t>1714-1722</w:t>
      </w:r>
    </w:p>
    <w:p w:rsidR="00705114" w:rsidRDefault="006102A3" w:rsidP="00363C0D">
      <w:pPr>
        <w:rPr>
          <w:rFonts w:ascii="Arial" w:hAnsi="Arial" w:cs="Arial"/>
          <w:color w:val="000000" w:themeColor="text1"/>
          <w:sz w:val="20"/>
          <w:shd w:val="clear" w:color="auto" w:fill="FFFFFF"/>
          <w:lang w:val="en-US"/>
        </w:rPr>
      </w:pPr>
      <w:r w:rsidRPr="00AD50A6">
        <w:rPr>
          <w:rFonts w:ascii="Arial" w:hAnsi="Arial" w:cs="Arial"/>
          <w:caps/>
          <w:color w:val="000000" w:themeColor="text1"/>
          <w:sz w:val="20"/>
          <w:lang w:val="en-GB"/>
        </w:rPr>
        <w:t>Koussoroplis AM</w:t>
      </w:r>
      <w:r w:rsidRPr="00AD50A6">
        <w:rPr>
          <w:rFonts w:ascii="Arial" w:hAnsi="Arial" w:cs="Arial"/>
          <w:caps/>
          <w:sz w:val="20"/>
          <w:lang w:val="en-GB"/>
        </w:rPr>
        <w:t xml:space="preserve"> </w:t>
      </w:r>
      <w:r w:rsidRPr="00AD50A6">
        <w:rPr>
          <w:rFonts w:ascii="Arial" w:hAnsi="Arial" w:cs="Arial"/>
          <w:sz w:val="20"/>
          <w:lang w:val="en-GB"/>
        </w:rPr>
        <w:t>et al (</w:t>
      </w:r>
      <w:r w:rsidRPr="00AD50A6">
        <w:rPr>
          <w:rFonts w:ascii="Arial" w:hAnsi="Arial" w:cs="Arial"/>
          <w:b/>
          <w:sz w:val="20"/>
          <w:lang w:val="en-GB"/>
        </w:rPr>
        <w:t>2016</w:t>
      </w:r>
      <w:r w:rsidRPr="00AD50A6">
        <w:rPr>
          <w:rFonts w:ascii="Arial" w:hAnsi="Arial" w:cs="Arial"/>
          <w:sz w:val="20"/>
          <w:lang w:val="en-GB"/>
        </w:rPr>
        <w:t>). Ecological Monographs</w:t>
      </w:r>
      <w:r w:rsidRPr="00AD50A6">
        <w:rPr>
          <w:rFonts w:ascii="Arial" w:hAnsi="Arial" w:cs="Arial"/>
          <w:color w:val="333333"/>
          <w:sz w:val="20"/>
          <w:shd w:val="clear" w:color="auto" w:fill="FFFFFF"/>
          <w:lang w:val="en-US"/>
        </w:rPr>
        <w:t xml:space="preserve"> </w:t>
      </w:r>
      <w:r w:rsidRPr="00AD50A6">
        <w:rPr>
          <w:rFonts w:ascii="Arial" w:hAnsi="Arial" w:cs="Arial"/>
          <w:color w:val="000000" w:themeColor="text1"/>
          <w:sz w:val="20"/>
          <w:shd w:val="clear" w:color="auto" w:fill="FFFFFF"/>
          <w:lang w:val="en-US"/>
        </w:rPr>
        <w:t>87 (2):178-197</w:t>
      </w:r>
    </w:p>
    <w:p w:rsidR="00705114" w:rsidRDefault="00705114" w:rsidP="00363C0D">
      <w:pPr>
        <w:spacing w:after="200" w:line="276" w:lineRule="auto"/>
        <w:rPr>
          <w:rFonts w:ascii="Arial" w:hAnsi="Arial" w:cs="Arial"/>
          <w:color w:val="000000" w:themeColor="text1"/>
          <w:sz w:val="20"/>
          <w:shd w:val="clear" w:color="auto" w:fill="FFFFFF"/>
          <w:lang w:val="en-US"/>
        </w:rPr>
      </w:pPr>
      <w:r>
        <w:rPr>
          <w:rFonts w:ascii="Arial" w:hAnsi="Arial" w:cs="Arial"/>
          <w:color w:val="000000" w:themeColor="text1"/>
          <w:sz w:val="20"/>
          <w:shd w:val="clear" w:color="auto" w:fill="FFFFFF"/>
          <w:lang w:val="en-US"/>
        </w:rPr>
        <w:br w:type="page"/>
      </w:r>
    </w:p>
    <w:p w:rsidR="00705114" w:rsidRPr="006D502F" w:rsidRDefault="00705114" w:rsidP="00363C0D">
      <w:pPr>
        <w:pStyle w:val="Corpsdetexte"/>
        <w:tabs>
          <w:tab w:val="left" w:pos="1560"/>
        </w:tabs>
        <w:rPr>
          <w:rFonts w:ascii="Arial" w:hAnsi="Arial" w:cs="Arial"/>
          <w:i w:val="0"/>
          <w:sz w:val="20"/>
        </w:rPr>
      </w:pPr>
      <w:r w:rsidRPr="006D502F">
        <w:rPr>
          <w:rFonts w:ascii="Arial" w:hAnsi="Arial" w:cs="Arial"/>
          <w:b/>
          <w:i w:val="0"/>
          <w:sz w:val="20"/>
        </w:rPr>
        <w:lastRenderedPageBreak/>
        <w:t xml:space="preserve">Directeur de thèse : </w:t>
      </w:r>
      <w:r w:rsidRPr="006D502F">
        <w:rPr>
          <w:rFonts w:ascii="Arial" w:hAnsi="Arial" w:cs="Arial"/>
          <w:i w:val="0"/>
          <w:sz w:val="20"/>
        </w:rPr>
        <w:t xml:space="preserve">J-F </w:t>
      </w:r>
      <w:proofErr w:type="spellStart"/>
      <w:r w:rsidRPr="006D502F">
        <w:rPr>
          <w:rFonts w:ascii="Arial" w:hAnsi="Arial" w:cs="Arial"/>
          <w:i w:val="0"/>
          <w:sz w:val="20"/>
        </w:rPr>
        <w:t>Brugère</w:t>
      </w:r>
      <w:proofErr w:type="spellEnd"/>
      <w:r w:rsidRPr="006D502F">
        <w:rPr>
          <w:rFonts w:ascii="Arial" w:hAnsi="Arial" w:cs="Arial"/>
          <w:i w:val="0"/>
          <w:sz w:val="20"/>
        </w:rPr>
        <w:t xml:space="preserve"> (MCU-HDR)</w:t>
      </w:r>
    </w:p>
    <w:p w:rsidR="00705114" w:rsidRPr="006D502F" w:rsidRDefault="00705114" w:rsidP="00363C0D">
      <w:pPr>
        <w:pStyle w:val="Corpsdetexte"/>
        <w:tabs>
          <w:tab w:val="left" w:pos="1560"/>
        </w:tabs>
        <w:rPr>
          <w:rFonts w:ascii="Arial" w:hAnsi="Arial" w:cs="Arial"/>
          <w:sz w:val="20"/>
        </w:rPr>
      </w:pPr>
      <w:hyperlink r:id="rId13" w:history="1">
        <w:r w:rsidRPr="006D502F">
          <w:rPr>
            <w:rStyle w:val="Lienhypertexte"/>
            <w:rFonts w:ascii="Arial" w:hAnsi="Arial" w:cs="Arial"/>
            <w:sz w:val="20"/>
          </w:rPr>
          <w:t>J-Francois.Brugere@uca.fr</w:t>
        </w:r>
      </w:hyperlink>
    </w:p>
    <w:p w:rsidR="00705114" w:rsidRPr="006D502F" w:rsidRDefault="00705114" w:rsidP="00363C0D">
      <w:pPr>
        <w:pStyle w:val="Corpsdetexte"/>
        <w:tabs>
          <w:tab w:val="left" w:pos="1560"/>
        </w:tabs>
      </w:pPr>
    </w:p>
    <w:p w:rsidR="00705114" w:rsidRDefault="00705114" w:rsidP="00363C0D">
      <w:pPr>
        <w:pStyle w:val="Corpsdetexte"/>
        <w:tabs>
          <w:tab w:val="left" w:pos="1560"/>
        </w:tabs>
        <w:ind w:firstLine="708"/>
        <w:rPr>
          <w:rFonts w:ascii="Arial" w:hAnsi="Arial" w:cs="Arial"/>
          <w:b/>
          <w:sz w:val="20"/>
          <w:shd w:val="clear" w:color="auto" w:fill="FFFFFF"/>
        </w:rPr>
      </w:pPr>
      <w:proofErr w:type="spellStart"/>
      <w:r w:rsidRPr="007C62DC">
        <w:rPr>
          <w:rFonts w:ascii="Arial" w:hAnsi="Arial" w:cs="Arial"/>
          <w:b/>
          <w:sz w:val="20"/>
          <w:shd w:val="clear" w:color="auto" w:fill="FFFFFF"/>
        </w:rPr>
        <w:t>Méthanogenèse</w:t>
      </w:r>
      <w:proofErr w:type="spellEnd"/>
      <w:r w:rsidRPr="007C62DC">
        <w:rPr>
          <w:rFonts w:ascii="Arial" w:hAnsi="Arial" w:cs="Arial"/>
          <w:b/>
          <w:sz w:val="20"/>
          <w:shd w:val="clear" w:color="auto" w:fill="FFFFFF"/>
        </w:rPr>
        <w:t xml:space="preserve"> et système </w:t>
      </w:r>
      <w:proofErr w:type="spellStart"/>
      <w:r w:rsidRPr="007C62DC">
        <w:rPr>
          <w:rFonts w:ascii="Arial" w:hAnsi="Arial" w:cs="Arial"/>
          <w:b/>
          <w:sz w:val="20"/>
          <w:shd w:val="clear" w:color="auto" w:fill="FFFFFF"/>
        </w:rPr>
        <w:t>Pyl</w:t>
      </w:r>
      <w:proofErr w:type="spellEnd"/>
      <w:r w:rsidRPr="007C62DC">
        <w:rPr>
          <w:rFonts w:ascii="Arial" w:hAnsi="Arial" w:cs="Arial"/>
          <w:b/>
          <w:sz w:val="20"/>
          <w:shd w:val="clear" w:color="auto" w:fill="FFFFFF"/>
        </w:rPr>
        <w:t xml:space="preserve"> d’archées intestinales humaines (</w:t>
      </w:r>
      <w:proofErr w:type="spellStart"/>
      <w:r w:rsidRPr="007C62DC">
        <w:rPr>
          <w:rFonts w:ascii="Arial" w:hAnsi="Arial" w:cs="Arial"/>
          <w:b/>
          <w:i w:val="0"/>
          <w:sz w:val="20"/>
          <w:shd w:val="clear" w:color="auto" w:fill="FFFFFF"/>
        </w:rPr>
        <w:t>Methanomassiliicoccales</w:t>
      </w:r>
      <w:proofErr w:type="spellEnd"/>
      <w:r w:rsidRPr="007C62DC">
        <w:rPr>
          <w:rFonts w:ascii="Arial" w:hAnsi="Arial" w:cs="Arial"/>
          <w:b/>
          <w:sz w:val="20"/>
          <w:shd w:val="clear" w:color="auto" w:fill="FFFFFF"/>
        </w:rPr>
        <w:t>) - étude par analyse multi-</w:t>
      </w:r>
      <w:proofErr w:type="spellStart"/>
      <w:r w:rsidRPr="007C62DC">
        <w:rPr>
          <w:rFonts w:ascii="Arial" w:hAnsi="Arial" w:cs="Arial"/>
          <w:b/>
          <w:sz w:val="20"/>
          <w:shd w:val="clear" w:color="auto" w:fill="FFFFFF"/>
        </w:rPr>
        <w:t>omique</w:t>
      </w:r>
      <w:proofErr w:type="spellEnd"/>
      <w:r w:rsidRPr="007C62DC">
        <w:rPr>
          <w:rFonts w:ascii="Arial" w:hAnsi="Arial" w:cs="Arial"/>
          <w:b/>
          <w:sz w:val="20"/>
          <w:shd w:val="clear" w:color="auto" w:fill="FFFFFF"/>
        </w:rPr>
        <w:t xml:space="preserve"> comparée</w:t>
      </w:r>
    </w:p>
    <w:p w:rsidR="00705114" w:rsidRPr="006D502F" w:rsidRDefault="00705114" w:rsidP="00363C0D">
      <w:pPr>
        <w:pStyle w:val="Corpsdetexte"/>
        <w:tabs>
          <w:tab w:val="left" w:pos="1560"/>
        </w:tabs>
        <w:ind w:firstLine="708"/>
        <w:rPr>
          <w:rFonts w:ascii="Arial" w:hAnsi="Arial" w:cs="Arial"/>
          <w:sz w:val="20"/>
        </w:rPr>
      </w:pPr>
    </w:p>
    <w:p w:rsidR="00705114" w:rsidRPr="006D502F" w:rsidRDefault="00705114" w:rsidP="00363C0D">
      <w:pPr>
        <w:tabs>
          <w:tab w:val="left" w:pos="280"/>
          <w:tab w:val="left" w:pos="580"/>
          <w:tab w:val="left" w:pos="1560"/>
        </w:tabs>
        <w:jc w:val="both"/>
        <w:rPr>
          <w:rFonts w:ascii="Arial" w:hAnsi="Arial" w:cs="Arial"/>
          <w:sz w:val="20"/>
        </w:rPr>
      </w:pPr>
      <w:r w:rsidRPr="006D502F">
        <w:rPr>
          <w:rFonts w:ascii="Arial" w:hAnsi="Arial" w:cs="Arial"/>
          <w:sz w:val="20"/>
        </w:rPr>
        <w:tab/>
        <w:t xml:space="preserve">Les </w:t>
      </w:r>
      <w:proofErr w:type="spellStart"/>
      <w:r w:rsidRPr="00B81E52">
        <w:rPr>
          <w:rFonts w:ascii="Arial" w:hAnsi="Arial" w:cs="Arial"/>
          <w:i/>
          <w:sz w:val="20"/>
        </w:rPr>
        <w:t>Methanomassiliicoccales</w:t>
      </w:r>
      <w:proofErr w:type="spellEnd"/>
      <w:r w:rsidRPr="006D502F">
        <w:rPr>
          <w:rFonts w:ascii="Arial" w:hAnsi="Arial" w:cs="Arial"/>
          <w:sz w:val="20"/>
        </w:rPr>
        <w:t xml:space="preserve"> (MMC) ou 7</w:t>
      </w:r>
      <w:r w:rsidRPr="006D502F">
        <w:rPr>
          <w:rFonts w:ascii="Arial" w:hAnsi="Arial" w:cs="Arial"/>
          <w:sz w:val="20"/>
          <w:vertAlign w:val="superscript"/>
        </w:rPr>
        <w:t>e</w:t>
      </w:r>
      <w:r w:rsidRPr="006D502F">
        <w:rPr>
          <w:rFonts w:ascii="Arial" w:hAnsi="Arial" w:cs="Arial"/>
          <w:sz w:val="20"/>
        </w:rPr>
        <w:t xml:space="preserve"> ordre méthanogène forment un groupe d’archées se caractérisant par une forte dichotomie évolutive (espèces environnementales / espèces associées à un hôte) et une </w:t>
      </w:r>
      <w:proofErr w:type="spellStart"/>
      <w:r w:rsidRPr="006D502F">
        <w:rPr>
          <w:rFonts w:ascii="Arial" w:hAnsi="Arial" w:cs="Arial"/>
          <w:sz w:val="20"/>
        </w:rPr>
        <w:t>méthanogenèse</w:t>
      </w:r>
      <w:proofErr w:type="spellEnd"/>
      <w:r w:rsidRPr="006D502F">
        <w:rPr>
          <w:rFonts w:ascii="Arial" w:hAnsi="Arial" w:cs="Arial"/>
          <w:sz w:val="20"/>
        </w:rPr>
        <w:t xml:space="preserve"> originale (</w:t>
      </w:r>
      <w:proofErr w:type="spellStart"/>
      <w:r w:rsidRPr="006D502F">
        <w:rPr>
          <w:rFonts w:ascii="Arial" w:hAnsi="Arial" w:cs="Arial"/>
          <w:sz w:val="20"/>
        </w:rPr>
        <w:t>hydrogénotrophe</w:t>
      </w:r>
      <w:proofErr w:type="spellEnd"/>
      <w:r w:rsidRPr="006D502F">
        <w:rPr>
          <w:rFonts w:ascii="Arial" w:hAnsi="Arial" w:cs="Arial"/>
          <w:sz w:val="20"/>
        </w:rPr>
        <w:t xml:space="preserve">, composés </w:t>
      </w:r>
      <w:proofErr w:type="spellStart"/>
      <w:r w:rsidRPr="006D502F">
        <w:rPr>
          <w:rFonts w:ascii="Arial" w:hAnsi="Arial" w:cs="Arial"/>
          <w:sz w:val="20"/>
        </w:rPr>
        <w:t>méthylés</w:t>
      </w:r>
      <w:proofErr w:type="spellEnd"/>
      <w:r w:rsidRPr="006D502F">
        <w:rPr>
          <w:rFonts w:ascii="Arial" w:hAnsi="Arial" w:cs="Arial"/>
          <w:sz w:val="20"/>
        </w:rPr>
        <w:t xml:space="preserve"> accepteurs d’électrons). Au-delà de l’intérêt en santé humaine (prévention notamment des maladies cardiovasculaires par </w:t>
      </w:r>
      <w:proofErr w:type="spellStart"/>
      <w:r w:rsidRPr="006D502F">
        <w:rPr>
          <w:rFonts w:ascii="Arial" w:hAnsi="Arial" w:cs="Arial"/>
          <w:sz w:val="20"/>
        </w:rPr>
        <w:t>archaebiotiques</w:t>
      </w:r>
      <w:proofErr w:type="spellEnd"/>
      <w:r w:rsidRPr="006D502F">
        <w:rPr>
          <w:rFonts w:ascii="Arial" w:hAnsi="Arial" w:cs="Arial"/>
          <w:sz w:val="20"/>
        </w:rPr>
        <w:t xml:space="preserve"> et dérivés), le métabolisme de la triméthylamine TMA se caractérise par la nécessité d’une synthèse et d</w:t>
      </w:r>
      <w:r>
        <w:rPr>
          <w:rFonts w:ascii="Arial" w:hAnsi="Arial" w:cs="Arial"/>
          <w:sz w:val="20"/>
        </w:rPr>
        <w:t xml:space="preserve">’un </w:t>
      </w:r>
      <w:r w:rsidRPr="006D502F">
        <w:rPr>
          <w:rFonts w:ascii="Arial" w:hAnsi="Arial" w:cs="Arial"/>
          <w:sz w:val="20"/>
        </w:rPr>
        <w:t>encodage d</w:t>
      </w:r>
      <w:r>
        <w:rPr>
          <w:rFonts w:ascii="Arial" w:hAnsi="Arial" w:cs="Arial"/>
          <w:sz w:val="20"/>
        </w:rPr>
        <w:t>u 22</w:t>
      </w:r>
      <w:r w:rsidRPr="00B81E52">
        <w:rPr>
          <w:rFonts w:ascii="Arial" w:hAnsi="Arial" w:cs="Arial"/>
          <w:sz w:val="20"/>
          <w:vertAlign w:val="superscript"/>
        </w:rPr>
        <w:t>e</w:t>
      </w:r>
      <w:r>
        <w:rPr>
          <w:rFonts w:ascii="Arial" w:hAnsi="Arial" w:cs="Arial"/>
          <w:sz w:val="20"/>
        </w:rPr>
        <w:t xml:space="preserve"> </w:t>
      </w:r>
      <w:r w:rsidRPr="006D502F">
        <w:rPr>
          <w:rFonts w:ascii="Arial" w:hAnsi="Arial" w:cs="Arial"/>
          <w:sz w:val="20"/>
        </w:rPr>
        <w:t>acide aminé</w:t>
      </w:r>
      <w:r>
        <w:rPr>
          <w:rFonts w:ascii="Arial" w:hAnsi="Arial" w:cs="Arial"/>
          <w:sz w:val="20"/>
        </w:rPr>
        <w:t xml:space="preserve"> </w:t>
      </w:r>
      <w:proofErr w:type="spellStart"/>
      <w:r w:rsidRPr="006D502F">
        <w:rPr>
          <w:rFonts w:ascii="Arial" w:hAnsi="Arial" w:cs="Arial"/>
          <w:sz w:val="20"/>
        </w:rPr>
        <w:t>pyrrolysine</w:t>
      </w:r>
      <w:proofErr w:type="spellEnd"/>
      <w:r w:rsidRPr="006D502F">
        <w:rPr>
          <w:rFonts w:ascii="Arial" w:hAnsi="Arial" w:cs="Arial"/>
          <w:sz w:val="20"/>
        </w:rPr>
        <w:t xml:space="preserve"> (</w:t>
      </w:r>
      <w:proofErr w:type="spellStart"/>
      <w:r w:rsidRPr="006D502F">
        <w:rPr>
          <w:rFonts w:ascii="Arial" w:hAnsi="Arial" w:cs="Arial"/>
          <w:sz w:val="20"/>
        </w:rPr>
        <w:t>Pyl</w:t>
      </w:r>
      <w:proofErr w:type="spellEnd"/>
      <w:r w:rsidRPr="006D502F">
        <w:rPr>
          <w:rFonts w:ascii="Arial" w:hAnsi="Arial" w:cs="Arial"/>
          <w:sz w:val="20"/>
        </w:rPr>
        <w:t xml:space="preserve">). Deux espèces MMC sont isolées à ce jour, dont l’une est un commensal obligatoire des environnements digestifs / associés à un hôte. Les données génomiques déjà acquises indiquent un système </w:t>
      </w:r>
      <w:proofErr w:type="spellStart"/>
      <w:r w:rsidRPr="006D502F">
        <w:rPr>
          <w:rFonts w:ascii="Arial" w:hAnsi="Arial" w:cs="Arial"/>
          <w:sz w:val="20"/>
        </w:rPr>
        <w:t>Pyl</w:t>
      </w:r>
      <w:proofErr w:type="spellEnd"/>
      <w:r w:rsidRPr="006D502F">
        <w:rPr>
          <w:rFonts w:ascii="Arial" w:hAnsi="Arial" w:cs="Arial"/>
          <w:sz w:val="20"/>
        </w:rPr>
        <w:t xml:space="preserve"> original et une probable évolution du code génétique pour l’espèce associée à l’Homme. Les données </w:t>
      </w:r>
      <w:proofErr w:type="spellStart"/>
      <w:r w:rsidRPr="006D502F">
        <w:rPr>
          <w:rFonts w:ascii="Arial" w:hAnsi="Arial" w:cs="Arial"/>
          <w:sz w:val="20"/>
        </w:rPr>
        <w:t>transcriptomiques</w:t>
      </w:r>
      <w:proofErr w:type="spellEnd"/>
      <w:r w:rsidRPr="006D502F">
        <w:rPr>
          <w:rFonts w:ascii="Arial" w:hAnsi="Arial" w:cs="Arial"/>
          <w:sz w:val="20"/>
        </w:rPr>
        <w:t xml:space="preserve"> (</w:t>
      </w:r>
      <w:proofErr w:type="spellStart"/>
      <w:r w:rsidRPr="006D502F">
        <w:rPr>
          <w:rFonts w:ascii="Arial" w:hAnsi="Arial" w:cs="Arial"/>
          <w:sz w:val="20"/>
        </w:rPr>
        <w:t>RNAseq</w:t>
      </w:r>
      <w:proofErr w:type="spellEnd"/>
      <w:r w:rsidRPr="006D502F">
        <w:rPr>
          <w:rFonts w:ascii="Arial" w:hAnsi="Arial" w:cs="Arial"/>
          <w:sz w:val="20"/>
        </w:rPr>
        <w:t>), d’empreintes ribosomales (</w:t>
      </w:r>
      <w:proofErr w:type="spellStart"/>
      <w:r w:rsidRPr="006D502F">
        <w:rPr>
          <w:rFonts w:ascii="Arial" w:hAnsi="Arial" w:cs="Arial"/>
          <w:sz w:val="20"/>
        </w:rPr>
        <w:t>ribo-seq</w:t>
      </w:r>
      <w:proofErr w:type="spellEnd"/>
      <w:r w:rsidRPr="006D502F">
        <w:rPr>
          <w:rFonts w:ascii="Arial" w:hAnsi="Arial" w:cs="Arial"/>
          <w:sz w:val="20"/>
        </w:rPr>
        <w:t xml:space="preserve">) et </w:t>
      </w:r>
      <w:proofErr w:type="spellStart"/>
      <w:r w:rsidRPr="006D502F">
        <w:rPr>
          <w:rFonts w:ascii="Arial" w:hAnsi="Arial" w:cs="Arial"/>
          <w:sz w:val="20"/>
        </w:rPr>
        <w:t>protéomiques</w:t>
      </w:r>
      <w:proofErr w:type="spellEnd"/>
      <w:r w:rsidRPr="006D502F">
        <w:rPr>
          <w:rFonts w:ascii="Arial" w:hAnsi="Arial" w:cs="Arial"/>
          <w:sz w:val="20"/>
        </w:rPr>
        <w:t xml:space="preserve"> sont en cours d’obtention, dans deux conditions de </w:t>
      </w:r>
      <w:proofErr w:type="spellStart"/>
      <w:r w:rsidRPr="006D502F">
        <w:rPr>
          <w:rFonts w:ascii="Arial" w:hAnsi="Arial" w:cs="Arial"/>
          <w:sz w:val="20"/>
        </w:rPr>
        <w:t>méthanogenèse</w:t>
      </w:r>
      <w:proofErr w:type="spellEnd"/>
      <w:r w:rsidRPr="006D502F">
        <w:rPr>
          <w:rFonts w:ascii="Arial" w:hAnsi="Arial" w:cs="Arial"/>
          <w:sz w:val="20"/>
        </w:rPr>
        <w:t xml:space="preserve"> différentes. La thèse combinera analyses informatiques, expériences et validations biologiques</w:t>
      </w:r>
      <w:r>
        <w:rPr>
          <w:rFonts w:ascii="Arial" w:hAnsi="Arial" w:cs="Arial"/>
          <w:sz w:val="20"/>
        </w:rPr>
        <w:t>, notamment par mutagenèse dirigée en système bactérien</w:t>
      </w:r>
      <w:r w:rsidRPr="006D502F">
        <w:rPr>
          <w:rFonts w:ascii="Arial" w:hAnsi="Arial" w:cs="Arial"/>
          <w:sz w:val="20"/>
        </w:rPr>
        <w:t xml:space="preserve">. Elle visera à déterminer dans quelle proportion l’usage de l’acide aminé </w:t>
      </w:r>
      <w:proofErr w:type="spellStart"/>
      <w:r w:rsidRPr="006D502F">
        <w:rPr>
          <w:rFonts w:ascii="Arial" w:hAnsi="Arial" w:cs="Arial"/>
          <w:sz w:val="20"/>
        </w:rPr>
        <w:t>Pyl</w:t>
      </w:r>
      <w:proofErr w:type="spellEnd"/>
      <w:r w:rsidRPr="006D502F">
        <w:rPr>
          <w:rFonts w:ascii="Arial" w:hAnsi="Arial" w:cs="Arial"/>
          <w:sz w:val="20"/>
        </w:rPr>
        <w:t xml:space="preserve"> est étendue au protéome de l’espèce commensale, ainsi que les mécanismes qui sous-tendent cette évolution du code génétique de traduction d’un codon usuellement non-sens.</w:t>
      </w:r>
    </w:p>
    <w:p w:rsidR="00705114" w:rsidRPr="006D502F" w:rsidRDefault="00705114" w:rsidP="00363C0D">
      <w:pPr>
        <w:tabs>
          <w:tab w:val="left" w:pos="280"/>
          <w:tab w:val="left" w:pos="580"/>
          <w:tab w:val="left" w:pos="1560"/>
        </w:tabs>
        <w:jc w:val="both"/>
        <w:rPr>
          <w:rFonts w:ascii="Arial" w:hAnsi="Arial" w:cs="Arial"/>
          <w:sz w:val="20"/>
        </w:rPr>
      </w:pPr>
    </w:p>
    <w:p w:rsidR="00705114" w:rsidRPr="006D502F" w:rsidRDefault="00705114" w:rsidP="00363C0D">
      <w:pPr>
        <w:tabs>
          <w:tab w:val="left" w:pos="280"/>
          <w:tab w:val="left" w:pos="580"/>
          <w:tab w:val="left" w:pos="1560"/>
        </w:tabs>
        <w:jc w:val="both"/>
        <w:rPr>
          <w:rFonts w:ascii="Arial" w:hAnsi="Arial" w:cs="Arial"/>
          <w:bCs/>
          <w:i/>
          <w:sz w:val="20"/>
          <w:lang w:val="en-GB"/>
        </w:rPr>
      </w:pPr>
      <w:r w:rsidRPr="006D502F">
        <w:rPr>
          <w:rFonts w:ascii="Arial" w:hAnsi="Arial" w:cs="Arial"/>
          <w:bCs/>
          <w:sz w:val="20"/>
          <w:lang w:val="en-GB"/>
        </w:rPr>
        <w:t xml:space="preserve">- </w:t>
      </w:r>
      <w:proofErr w:type="spellStart"/>
      <w:r w:rsidRPr="006D502F">
        <w:rPr>
          <w:rFonts w:ascii="Arial" w:hAnsi="Arial" w:cs="Arial"/>
          <w:bCs/>
          <w:sz w:val="20"/>
          <w:lang w:val="en-GB"/>
        </w:rPr>
        <w:t>Borrel</w:t>
      </w:r>
      <w:proofErr w:type="spellEnd"/>
      <w:r w:rsidRPr="006D502F">
        <w:rPr>
          <w:rFonts w:ascii="Arial" w:hAnsi="Arial" w:cs="Arial"/>
          <w:bCs/>
          <w:sz w:val="20"/>
          <w:lang w:val="en-GB"/>
        </w:rPr>
        <w:t xml:space="preserve"> G </w:t>
      </w:r>
      <w:r w:rsidRPr="006D502F">
        <w:rPr>
          <w:rFonts w:ascii="Arial" w:hAnsi="Arial" w:cs="Arial"/>
          <w:bCs/>
          <w:i/>
          <w:sz w:val="20"/>
          <w:lang w:val="en-GB"/>
        </w:rPr>
        <w:t>et al</w:t>
      </w:r>
      <w:r w:rsidRPr="006D502F">
        <w:rPr>
          <w:rFonts w:ascii="Arial" w:hAnsi="Arial" w:cs="Arial"/>
          <w:bCs/>
          <w:sz w:val="20"/>
          <w:lang w:val="en-GB"/>
        </w:rPr>
        <w:t xml:space="preserve"> (2017) Genomics and metagenomics of trimethylamine-utilizing Archaea in the human gut microbiome. </w:t>
      </w:r>
      <w:r w:rsidRPr="006D502F">
        <w:rPr>
          <w:rFonts w:ascii="Arial" w:hAnsi="Arial" w:cs="Arial"/>
          <w:bCs/>
          <w:i/>
          <w:sz w:val="20"/>
          <w:lang w:val="en-GB"/>
        </w:rPr>
        <w:t xml:space="preserve">ISME J. </w:t>
      </w:r>
      <w:r w:rsidRPr="006D502F">
        <w:rPr>
          <w:rFonts w:ascii="Arial" w:hAnsi="Arial" w:cs="Arial"/>
          <w:bCs/>
          <w:sz w:val="20"/>
          <w:lang w:val="en-GB"/>
        </w:rPr>
        <w:t>11(9):2059-2074.</w:t>
      </w:r>
    </w:p>
    <w:p w:rsidR="00705114" w:rsidRDefault="00705114" w:rsidP="00363C0D">
      <w:pPr>
        <w:rPr>
          <w:rFonts w:ascii="Arial" w:hAnsi="Arial" w:cs="Arial"/>
          <w:sz w:val="20"/>
        </w:rPr>
      </w:pPr>
      <w:r w:rsidRPr="006D502F">
        <w:rPr>
          <w:rFonts w:ascii="Arial" w:hAnsi="Arial" w:cs="Arial"/>
          <w:sz w:val="20"/>
          <w:lang w:val="en-GB"/>
        </w:rPr>
        <w:t xml:space="preserve">- </w:t>
      </w:r>
      <w:proofErr w:type="spellStart"/>
      <w:r w:rsidRPr="006D502F">
        <w:rPr>
          <w:rFonts w:ascii="Arial" w:hAnsi="Arial" w:cs="Arial"/>
          <w:sz w:val="20"/>
          <w:lang w:val="en-GB"/>
        </w:rPr>
        <w:t>Brugère</w:t>
      </w:r>
      <w:proofErr w:type="spellEnd"/>
      <w:r w:rsidRPr="006D502F">
        <w:rPr>
          <w:rFonts w:ascii="Arial" w:hAnsi="Arial" w:cs="Arial"/>
          <w:sz w:val="20"/>
          <w:lang w:val="en-GB"/>
        </w:rPr>
        <w:t xml:space="preserve"> JF </w:t>
      </w:r>
      <w:r w:rsidRPr="006D502F">
        <w:rPr>
          <w:rFonts w:ascii="Arial" w:hAnsi="Arial" w:cs="Arial"/>
          <w:i/>
          <w:sz w:val="20"/>
          <w:lang w:val="en-GB"/>
        </w:rPr>
        <w:t>et al</w:t>
      </w:r>
      <w:r w:rsidRPr="006D502F">
        <w:rPr>
          <w:rFonts w:ascii="Arial" w:hAnsi="Arial" w:cs="Arial"/>
          <w:sz w:val="20"/>
          <w:lang w:val="en-GB"/>
        </w:rPr>
        <w:t xml:space="preserve"> (2018). </w:t>
      </w:r>
      <w:proofErr w:type="spellStart"/>
      <w:r w:rsidRPr="006D502F">
        <w:rPr>
          <w:rFonts w:ascii="Arial" w:hAnsi="Arial" w:cs="Arial"/>
          <w:sz w:val="20"/>
          <w:lang w:val="en-GB"/>
        </w:rPr>
        <w:t>Pyrrolysine</w:t>
      </w:r>
      <w:proofErr w:type="spellEnd"/>
      <w:r w:rsidRPr="006D502F">
        <w:rPr>
          <w:rFonts w:ascii="Arial" w:hAnsi="Arial" w:cs="Arial"/>
          <w:sz w:val="20"/>
          <w:lang w:val="en-GB"/>
        </w:rPr>
        <w:t xml:space="preserve"> in archaea: a 22</w:t>
      </w:r>
      <w:r w:rsidRPr="006D502F">
        <w:rPr>
          <w:rFonts w:ascii="Arial" w:hAnsi="Arial" w:cs="Arial"/>
          <w:sz w:val="20"/>
          <w:vertAlign w:val="superscript"/>
          <w:lang w:val="en-GB"/>
        </w:rPr>
        <w:t>nd</w:t>
      </w:r>
      <w:r w:rsidRPr="006D502F">
        <w:rPr>
          <w:rFonts w:ascii="Arial" w:hAnsi="Arial" w:cs="Arial"/>
          <w:sz w:val="20"/>
          <w:lang w:val="en-GB"/>
        </w:rPr>
        <w:t xml:space="preserve"> amino acid encoded through a genetic code expansion. </w:t>
      </w:r>
      <w:proofErr w:type="spellStart"/>
      <w:r w:rsidRPr="006D502F">
        <w:rPr>
          <w:rFonts w:ascii="Arial" w:hAnsi="Arial" w:cs="Arial"/>
          <w:i/>
          <w:iCs/>
          <w:sz w:val="20"/>
        </w:rPr>
        <w:t>Emerg</w:t>
      </w:r>
      <w:proofErr w:type="spellEnd"/>
      <w:r w:rsidRPr="006D502F">
        <w:rPr>
          <w:rFonts w:ascii="Arial" w:hAnsi="Arial" w:cs="Arial"/>
          <w:i/>
          <w:iCs/>
          <w:sz w:val="20"/>
        </w:rPr>
        <w:t xml:space="preserve">. Top. Life </w:t>
      </w:r>
      <w:proofErr w:type="spellStart"/>
      <w:r w:rsidRPr="006D502F">
        <w:rPr>
          <w:rFonts w:ascii="Arial" w:hAnsi="Arial" w:cs="Arial"/>
          <w:i/>
          <w:iCs/>
          <w:sz w:val="20"/>
        </w:rPr>
        <w:t>Sci</w:t>
      </w:r>
      <w:proofErr w:type="spellEnd"/>
      <w:r w:rsidRPr="006D502F">
        <w:rPr>
          <w:rFonts w:ascii="Arial" w:hAnsi="Arial" w:cs="Arial"/>
          <w:i/>
          <w:iCs/>
          <w:sz w:val="20"/>
        </w:rPr>
        <w:t>.</w:t>
      </w:r>
      <w:r w:rsidRPr="006D502F">
        <w:rPr>
          <w:rFonts w:ascii="Arial" w:hAnsi="Arial" w:cs="Arial"/>
          <w:sz w:val="20"/>
        </w:rPr>
        <w:t xml:space="preserve">, </w:t>
      </w:r>
      <w:r w:rsidRPr="006D502F">
        <w:rPr>
          <w:rFonts w:ascii="Arial" w:hAnsi="Arial" w:cs="Arial"/>
          <w:i/>
          <w:iCs/>
          <w:sz w:val="20"/>
        </w:rPr>
        <w:t>2</w:t>
      </w:r>
      <w:r w:rsidRPr="006D502F">
        <w:rPr>
          <w:rFonts w:ascii="Arial" w:hAnsi="Arial" w:cs="Arial"/>
          <w:sz w:val="20"/>
        </w:rPr>
        <w:t>(4), 607-618</w:t>
      </w:r>
    </w:p>
    <w:p w:rsidR="00705114" w:rsidRDefault="00705114" w:rsidP="00363C0D">
      <w:pPr>
        <w:spacing w:after="200" w:line="276" w:lineRule="auto"/>
        <w:rPr>
          <w:rFonts w:ascii="Arial" w:hAnsi="Arial" w:cs="Arial"/>
          <w:sz w:val="20"/>
        </w:rPr>
      </w:pPr>
      <w:r>
        <w:rPr>
          <w:rFonts w:ascii="Arial" w:hAnsi="Arial" w:cs="Arial"/>
          <w:sz w:val="20"/>
        </w:rPr>
        <w:br w:type="page"/>
      </w:r>
    </w:p>
    <w:p w:rsidR="00705114" w:rsidRDefault="00705114" w:rsidP="00363C0D">
      <w:pPr>
        <w:pStyle w:val="Corpsdetexte"/>
        <w:tabs>
          <w:tab w:val="left" w:pos="1560"/>
        </w:tabs>
      </w:pPr>
      <w:r>
        <w:rPr>
          <w:rFonts w:ascii="Arial" w:hAnsi="Arial" w:cs="Arial"/>
          <w:b/>
          <w:i w:val="0"/>
          <w:sz w:val="20"/>
        </w:rPr>
        <w:lastRenderedPageBreak/>
        <w:t xml:space="preserve">Directeur de thèse : </w:t>
      </w:r>
      <w:r>
        <w:rPr>
          <w:rFonts w:ascii="Arial" w:hAnsi="Arial" w:cs="Arial"/>
          <w:i w:val="0"/>
          <w:sz w:val="20"/>
        </w:rPr>
        <w:t>Pr.</w:t>
      </w:r>
      <w:r>
        <w:rPr>
          <w:rFonts w:ascii="Arial" w:hAnsi="Arial" w:cs="Arial"/>
          <w:b/>
          <w:i w:val="0"/>
          <w:sz w:val="20"/>
        </w:rPr>
        <w:t xml:space="preserve"> </w:t>
      </w:r>
      <w:r>
        <w:rPr>
          <w:rFonts w:ascii="Arial" w:hAnsi="Arial" w:cs="Arial"/>
          <w:i w:val="0"/>
          <w:sz w:val="20"/>
        </w:rPr>
        <w:t xml:space="preserve">Didier </w:t>
      </w:r>
      <w:proofErr w:type="spellStart"/>
      <w:r>
        <w:rPr>
          <w:rFonts w:ascii="Arial" w:hAnsi="Arial" w:cs="Arial"/>
          <w:i w:val="0"/>
          <w:sz w:val="20"/>
        </w:rPr>
        <w:t>Debroas</w:t>
      </w:r>
      <w:proofErr w:type="spellEnd"/>
      <w:r>
        <w:rPr>
          <w:rFonts w:ascii="Arial" w:hAnsi="Arial" w:cs="Arial"/>
          <w:i w:val="0"/>
          <w:sz w:val="20"/>
        </w:rPr>
        <w:t xml:space="preserve">. </w:t>
      </w:r>
      <w:hyperlink r:id="rId14" w:history="1">
        <w:r w:rsidR="00363C0D" w:rsidRPr="00FF45EF">
          <w:rPr>
            <w:rStyle w:val="Lienhypertexte"/>
            <w:rFonts w:ascii="Arial" w:hAnsi="Arial" w:cs="Arial"/>
            <w:i w:val="0"/>
            <w:sz w:val="20"/>
          </w:rPr>
          <w:t>didier.debroas@uca.fr</w:t>
        </w:r>
      </w:hyperlink>
      <w:r w:rsidR="00363C0D">
        <w:rPr>
          <w:rFonts w:ascii="Arial" w:hAnsi="Arial" w:cs="Arial"/>
          <w:i w:val="0"/>
          <w:sz w:val="20"/>
        </w:rPr>
        <w:t xml:space="preserve"> </w:t>
      </w:r>
    </w:p>
    <w:p w:rsidR="00705114" w:rsidRDefault="00705114" w:rsidP="00363C0D">
      <w:pPr>
        <w:tabs>
          <w:tab w:val="left" w:pos="1560"/>
        </w:tabs>
        <w:jc w:val="both"/>
        <w:rPr>
          <w:lang w:val="en-US"/>
        </w:rPr>
      </w:pPr>
    </w:p>
    <w:p w:rsidR="00705114" w:rsidRDefault="00705114" w:rsidP="00363C0D">
      <w:pPr>
        <w:tabs>
          <w:tab w:val="left" w:pos="1560"/>
        </w:tabs>
        <w:jc w:val="both"/>
        <w:rPr>
          <w:rFonts w:ascii="Arial" w:hAnsi="Arial" w:cs="Arial"/>
          <w:b/>
          <w:bCs/>
          <w:sz w:val="20"/>
          <w:u w:val="double"/>
        </w:rPr>
      </w:pPr>
      <w:r>
        <w:rPr>
          <w:rFonts w:ascii="Arial" w:hAnsi="Arial" w:cs="Arial"/>
          <w:b/>
          <w:bCs/>
          <w:sz w:val="20"/>
          <w:lang w:val="en-US"/>
        </w:rPr>
        <w:t xml:space="preserve">Deciphering the main vehicles of the antibiotic resistance genes in the environments: role of the phages and </w:t>
      </w:r>
      <w:r>
        <w:rPr>
          <w:rStyle w:val="Accentuationforte"/>
          <w:rFonts w:ascii="Arial" w:hAnsi="Arial" w:cs="Arial"/>
          <w:sz w:val="20"/>
          <w:szCs w:val="22"/>
          <w:shd w:val="clear" w:color="auto" w:fill="FFFFFF"/>
          <w:lang w:val="en-US"/>
        </w:rPr>
        <w:t>membrane vesicles.</w:t>
      </w:r>
    </w:p>
    <w:p w:rsidR="00705114" w:rsidRDefault="00705114" w:rsidP="00363C0D">
      <w:pPr>
        <w:pStyle w:val="Corpsdetexte"/>
        <w:tabs>
          <w:tab w:val="left" w:pos="1560"/>
        </w:tabs>
        <w:rPr>
          <w:rFonts w:ascii="Arial" w:hAnsi="Arial" w:cs="Arial"/>
          <w:b/>
          <w:i w:val="0"/>
          <w:sz w:val="20"/>
          <w:lang w:val="en-US"/>
        </w:rPr>
      </w:pPr>
    </w:p>
    <w:p w:rsidR="00705114" w:rsidRDefault="00705114" w:rsidP="00363C0D">
      <w:pPr>
        <w:tabs>
          <w:tab w:val="left" w:pos="1560"/>
        </w:tabs>
        <w:jc w:val="both"/>
      </w:pPr>
      <w:r>
        <w:rPr>
          <w:rStyle w:val="src"/>
          <w:rFonts w:ascii="Arial" w:hAnsi="Arial" w:cs="Arial"/>
          <w:sz w:val="20"/>
          <w:szCs w:val="22"/>
          <w:shd w:val="clear" w:color="auto" w:fill="FFFFFF"/>
          <w:lang w:val="en-US"/>
        </w:rPr>
        <w:t xml:space="preserve">At the global scale, antibiotic resistance is a rapidly growing health care problem. </w:t>
      </w:r>
      <w:r>
        <w:rPr>
          <w:rStyle w:val="src"/>
          <w:rFonts w:ascii="Arial" w:hAnsi="Arial" w:cs="Arial"/>
          <w:color w:val="00000A"/>
          <w:sz w:val="20"/>
          <w:szCs w:val="22"/>
          <w:highlight w:val="white"/>
          <w:lang w:val="en-US"/>
        </w:rPr>
        <w:t xml:space="preserve">At least 700,000 deaths are yearly attributable to resistant microbial infections </w:t>
      </w:r>
      <w:hyperlink r:id="rId15">
        <w:r>
          <w:rPr>
            <w:rStyle w:val="LienInternet"/>
            <w:rFonts w:ascii="Arial" w:hAnsi="Arial" w:cs="Arial"/>
            <w:color w:val="00000A"/>
            <w:sz w:val="20"/>
            <w:szCs w:val="22"/>
            <w:highlight w:val="white"/>
            <w:lang w:val="en-US"/>
          </w:rPr>
          <w:t>worldwide</w:t>
        </w:r>
      </w:hyperlink>
      <w:r>
        <w:rPr>
          <w:rStyle w:val="src"/>
          <w:rFonts w:ascii="Arial" w:hAnsi="Arial" w:cs="Arial"/>
          <w:color w:val="00000A"/>
          <w:sz w:val="20"/>
          <w:szCs w:val="22"/>
          <w:highlight w:val="white"/>
          <w:lang w:val="en-US"/>
        </w:rPr>
        <w:t>, and estimates rise above 10 million by 2050 in the absence of a proactive solution.</w:t>
      </w:r>
      <w:r>
        <w:rPr>
          <w:rStyle w:val="src"/>
          <w:rFonts w:ascii="Arial" w:hAnsi="Arial" w:cs="Arial"/>
          <w:sz w:val="20"/>
          <w:szCs w:val="22"/>
          <w:shd w:val="clear" w:color="auto" w:fill="FFFFFF"/>
          <w:lang w:val="en-US"/>
        </w:rPr>
        <w:t xml:space="preserve"> The One Health concepts integrate knowledge of the biological elements required for understanding the evolution of antimicrobial resistance, including all the vectors involved in its emergence and dissemination. </w:t>
      </w:r>
      <w:r>
        <w:rPr>
          <w:rStyle w:val="Accentuationforte"/>
          <w:rFonts w:ascii="Arial" w:hAnsi="Arial" w:cs="Arial"/>
          <w:sz w:val="20"/>
          <w:szCs w:val="22"/>
          <w:shd w:val="clear" w:color="auto" w:fill="FFFFFF"/>
          <w:lang w:val="en-US"/>
        </w:rPr>
        <w:t>Most mobile genetic elements are transferred through cell-cell contact by a conjugation mechanism. However, other mechanisms do not require cell contact between microorganisms, the persistence of the DNA in the environment is therefore critical. Thus, vehicles for the transfer between non-contiguous cells could be phages or, more generally, all vehicles protecting the nucleic acids such as gene transfer agents or membrane vesicles.</w:t>
      </w:r>
    </w:p>
    <w:p w:rsidR="00705114" w:rsidRDefault="00705114" w:rsidP="00363C0D">
      <w:pPr>
        <w:tabs>
          <w:tab w:val="left" w:pos="1560"/>
        </w:tabs>
        <w:jc w:val="both"/>
      </w:pPr>
      <w:r>
        <w:rPr>
          <w:rStyle w:val="Accentuationforte"/>
          <w:rFonts w:ascii="Arial" w:hAnsi="Arial" w:cs="Arial"/>
          <w:sz w:val="20"/>
          <w:szCs w:val="22"/>
          <w:shd w:val="clear" w:color="auto" w:fill="FFFFFF"/>
          <w:lang w:val="en-US"/>
        </w:rPr>
        <w:t>We hypothesize that the role of phages and membrane vesicles (MVs) in the dissemination of the antibiotic resistance genes are largely underestimated. The main objectives of this PhD are: 1) To assess the relative importance of phages and MVs compared to the microbiome 2) To evaluate the proportion of the ARGs harbored specifically by MVs and phages; 3) To propose a wastewater monitoring to track dissemination and emergence of the antibiotic resistances by targeting the main vehicles of the ARGs defined in this project.</w:t>
      </w:r>
    </w:p>
    <w:p w:rsidR="00705114" w:rsidRDefault="00705114" w:rsidP="00363C0D">
      <w:pPr>
        <w:pStyle w:val="Corpsdetexte"/>
        <w:tabs>
          <w:tab w:val="left" w:pos="1560"/>
        </w:tabs>
        <w:rPr>
          <w:rStyle w:val="src"/>
          <w:rFonts w:ascii="Arial" w:hAnsi="Arial" w:cs="Arial"/>
          <w:b/>
          <w:i w:val="0"/>
          <w:sz w:val="20"/>
          <w:highlight w:val="white"/>
          <w:lang w:val="en-US"/>
        </w:rPr>
      </w:pPr>
    </w:p>
    <w:p w:rsidR="005C269E" w:rsidRDefault="00705114" w:rsidP="00363C0D">
      <w:pPr>
        <w:rPr>
          <w:rStyle w:val="src"/>
          <w:rFonts w:ascii="Arial" w:hAnsi="Arial" w:cs="Arial"/>
          <w:sz w:val="20"/>
          <w:shd w:val="clear" w:color="auto" w:fill="FFFFFF"/>
          <w:lang w:val="en-US"/>
        </w:rPr>
      </w:pPr>
      <w:proofErr w:type="spellStart"/>
      <w:r>
        <w:rPr>
          <w:rStyle w:val="src"/>
          <w:rFonts w:ascii="Arial" w:hAnsi="Arial" w:cs="Arial"/>
          <w:sz w:val="20"/>
          <w:shd w:val="clear" w:color="auto" w:fill="FFFFFF"/>
          <w:lang w:val="en-US"/>
        </w:rPr>
        <w:t>Debroas</w:t>
      </w:r>
      <w:proofErr w:type="spellEnd"/>
      <w:r>
        <w:rPr>
          <w:rStyle w:val="src"/>
          <w:rFonts w:ascii="Arial" w:hAnsi="Arial" w:cs="Arial"/>
          <w:sz w:val="20"/>
          <w:shd w:val="clear" w:color="auto" w:fill="FFFFFF"/>
          <w:lang w:val="en-US"/>
        </w:rPr>
        <w:t xml:space="preserve">, D. &amp; </w:t>
      </w:r>
      <w:proofErr w:type="spellStart"/>
      <w:r>
        <w:rPr>
          <w:rStyle w:val="src"/>
          <w:rFonts w:ascii="Arial" w:hAnsi="Arial" w:cs="Arial"/>
          <w:sz w:val="20"/>
          <w:shd w:val="clear" w:color="auto" w:fill="FFFFFF"/>
          <w:lang w:val="en-US"/>
        </w:rPr>
        <w:t>Siguret</w:t>
      </w:r>
      <w:proofErr w:type="spellEnd"/>
      <w:r>
        <w:rPr>
          <w:rStyle w:val="src"/>
          <w:rFonts w:ascii="Arial" w:hAnsi="Arial" w:cs="Arial"/>
          <w:sz w:val="20"/>
          <w:shd w:val="clear" w:color="auto" w:fill="FFFFFF"/>
          <w:lang w:val="en-US"/>
        </w:rPr>
        <w:t>, C. Viruses as key reservoirs of antibiotic resistance genes in the environment. ISME J 1–12 (2019)</w:t>
      </w:r>
    </w:p>
    <w:p w:rsidR="005C269E" w:rsidRDefault="005C269E" w:rsidP="00363C0D">
      <w:pPr>
        <w:spacing w:after="200" w:line="276" w:lineRule="auto"/>
        <w:rPr>
          <w:rStyle w:val="src"/>
          <w:rFonts w:ascii="Arial" w:hAnsi="Arial" w:cs="Arial"/>
          <w:sz w:val="20"/>
          <w:shd w:val="clear" w:color="auto" w:fill="FFFFFF"/>
          <w:lang w:val="en-US"/>
        </w:rPr>
      </w:pPr>
      <w:r>
        <w:rPr>
          <w:rStyle w:val="src"/>
          <w:rFonts w:ascii="Arial" w:hAnsi="Arial" w:cs="Arial"/>
          <w:sz w:val="20"/>
          <w:shd w:val="clear" w:color="auto" w:fill="FFFFFF"/>
          <w:lang w:val="en-US"/>
        </w:rPr>
        <w:br w:type="page"/>
      </w:r>
    </w:p>
    <w:p w:rsidR="005C269E" w:rsidRDefault="005C269E" w:rsidP="00363C0D">
      <w:pPr>
        <w:pStyle w:val="Corpsdetexte"/>
        <w:tabs>
          <w:tab w:val="left" w:pos="1560"/>
        </w:tabs>
        <w:rPr>
          <w:rFonts w:ascii="Arial" w:hAnsi="Arial" w:cs="Arial"/>
          <w:b/>
          <w:i w:val="0"/>
          <w:sz w:val="20"/>
        </w:rPr>
      </w:pPr>
      <w:r>
        <w:rPr>
          <w:rFonts w:ascii="Arial" w:hAnsi="Arial" w:cs="Arial"/>
          <w:b/>
          <w:i w:val="0"/>
          <w:sz w:val="20"/>
        </w:rPr>
        <w:lastRenderedPageBreak/>
        <w:t>Directeur</w:t>
      </w:r>
      <w:r w:rsidRPr="00BC192C">
        <w:rPr>
          <w:rFonts w:ascii="Arial" w:hAnsi="Arial" w:cs="Arial"/>
          <w:b/>
          <w:i w:val="0"/>
          <w:sz w:val="20"/>
        </w:rPr>
        <w:t xml:space="preserve"> de thèse : </w:t>
      </w:r>
      <w:r w:rsidRPr="00363C0D">
        <w:rPr>
          <w:rFonts w:ascii="Arial" w:hAnsi="Arial" w:cs="Arial"/>
          <w:i w:val="0"/>
          <w:sz w:val="20"/>
        </w:rPr>
        <w:t xml:space="preserve">Hicham El Alaoui (MCU-HDR), </w:t>
      </w:r>
      <w:hyperlink r:id="rId16" w:history="1">
        <w:r w:rsidRPr="00363C0D">
          <w:rPr>
            <w:rStyle w:val="Lienhypertexte"/>
            <w:rFonts w:ascii="Arial" w:hAnsi="Arial" w:cs="Arial"/>
            <w:i w:val="0"/>
            <w:sz w:val="20"/>
          </w:rPr>
          <w:t>hicham.el_alaoui@uca.fr</w:t>
        </w:r>
      </w:hyperlink>
      <w:r>
        <w:rPr>
          <w:rFonts w:ascii="Arial" w:hAnsi="Arial" w:cs="Arial"/>
          <w:b/>
          <w:i w:val="0"/>
          <w:sz w:val="20"/>
        </w:rPr>
        <w:t xml:space="preserve"> </w:t>
      </w:r>
    </w:p>
    <w:p w:rsidR="005C269E" w:rsidRPr="00EC146C" w:rsidRDefault="005C269E" w:rsidP="00363C0D">
      <w:pPr>
        <w:pStyle w:val="Corpsdetexte"/>
        <w:tabs>
          <w:tab w:val="left" w:pos="1560"/>
        </w:tabs>
        <w:rPr>
          <w:rFonts w:ascii="Arial" w:hAnsi="Arial" w:cs="Arial"/>
          <w:b/>
          <w:i w:val="0"/>
          <w:noProof/>
          <w:sz w:val="20"/>
        </w:rPr>
      </w:pPr>
    </w:p>
    <w:p w:rsidR="005C269E" w:rsidRPr="00BC192C" w:rsidRDefault="005C269E" w:rsidP="00363C0D">
      <w:pPr>
        <w:pStyle w:val="Corpsdetexte"/>
        <w:tabs>
          <w:tab w:val="left" w:pos="1560"/>
        </w:tabs>
        <w:rPr>
          <w:rFonts w:ascii="Arial" w:hAnsi="Arial" w:cs="Arial"/>
          <w:i w:val="0"/>
          <w:sz w:val="20"/>
        </w:rPr>
      </w:pPr>
      <w:r w:rsidRPr="00BC192C">
        <w:rPr>
          <w:rStyle w:val="mediumtext1"/>
          <w:rFonts w:ascii="Arial" w:hAnsi="Arial" w:cs="Arial"/>
          <w:b/>
          <w:i w:val="0"/>
          <w:sz w:val="20"/>
          <w:shd w:val="clear" w:color="auto" w:fill="FFFFFF"/>
        </w:rPr>
        <w:t>Validation de nouveaux traitements à base de polyphénols contre la nosémose des abeilles et décryptage du mécanisme d’action</w:t>
      </w:r>
    </w:p>
    <w:p w:rsidR="005C269E" w:rsidRDefault="005C269E" w:rsidP="00363C0D">
      <w:pPr>
        <w:tabs>
          <w:tab w:val="left" w:pos="280"/>
          <w:tab w:val="left" w:pos="580"/>
          <w:tab w:val="left" w:pos="1560"/>
        </w:tabs>
        <w:jc w:val="both"/>
        <w:rPr>
          <w:rFonts w:ascii="Arial" w:hAnsi="Arial" w:cs="Arial"/>
          <w:sz w:val="20"/>
        </w:rPr>
      </w:pPr>
      <w:r w:rsidRPr="00EC146C">
        <w:rPr>
          <w:rFonts w:ascii="Arial" w:hAnsi="Arial" w:cs="Arial"/>
          <w:sz w:val="20"/>
        </w:rPr>
        <w:tab/>
      </w:r>
    </w:p>
    <w:p w:rsidR="005C269E" w:rsidRPr="00BC192C" w:rsidRDefault="005C269E" w:rsidP="00363C0D">
      <w:pPr>
        <w:tabs>
          <w:tab w:val="left" w:pos="280"/>
          <w:tab w:val="left" w:pos="580"/>
          <w:tab w:val="left" w:pos="1560"/>
        </w:tabs>
        <w:jc w:val="both"/>
        <w:rPr>
          <w:rFonts w:ascii="Arial" w:hAnsi="Arial" w:cs="Arial"/>
          <w:sz w:val="20"/>
        </w:rPr>
      </w:pPr>
      <w:r w:rsidRPr="00BC192C">
        <w:rPr>
          <w:rFonts w:ascii="Arial" w:hAnsi="Arial" w:cs="Arial"/>
          <w:sz w:val="20"/>
        </w:rPr>
        <w:t xml:space="preserve">Les </w:t>
      </w:r>
      <w:proofErr w:type="spellStart"/>
      <w:r w:rsidRPr="00BC192C">
        <w:rPr>
          <w:rFonts w:ascii="Arial" w:hAnsi="Arial" w:cs="Arial"/>
          <w:sz w:val="20"/>
        </w:rPr>
        <w:t>microsporidies</w:t>
      </w:r>
      <w:proofErr w:type="spellEnd"/>
      <w:r w:rsidRPr="00BC192C">
        <w:rPr>
          <w:rFonts w:ascii="Arial" w:hAnsi="Arial" w:cs="Arial"/>
          <w:sz w:val="20"/>
        </w:rPr>
        <w:t xml:space="preserve"> sont des parasites eucaryotes unicellulaires apparentés aux champignons et qui possèdent un large spectre d’hôtes, allant des insectes jusqu’à l’homme. L’espèce </w:t>
      </w:r>
      <w:proofErr w:type="spellStart"/>
      <w:r w:rsidRPr="00BC192C">
        <w:rPr>
          <w:rFonts w:ascii="Arial" w:hAnsi="Arial" w:cs="Arial"/>
          <w:i/>
          <w:sz w:val="20"/>
        </w:rPr>
        <w:t>Nosema</w:t>
      </w:r>
      <w:proofErr w:type="spellEnd"/>
      <w:r w:rsidRPr="00BC192C">
        <w:rPr>
          <w:rFonts w:ascii="Arial" w:hAnsi="Arial" w:cs="Arial"/>
          <w:i/>
          <w:sz w:val="20"/>
        </w:rPr>
        <w:t xml:space="preserve"> </w:t>
      </w:r>
      <w:proofErr w:type="spellStart"/>
      <w:r w:rsidRPr="00BC192C">
        <w:rPr>
          <w:rFonts w:ascii="Arial" w:hAnsi="Arial" w:cs="Arial"/>
          <w:i/>
          <w:sz w:val="20"/>
        </w:rPr>
        <w:t>ceranae</w:t>
      </w:r>
      <w:proofErr w:type="spellEnd"/>
      <w:r w:rsidRPr="00BC192C">
        <w:rPr>
          <w:rFonts w:ascii="Arial" w:hAnsi="Arial" w:cs="Arial"/>
          <w:sz w:val="20"/>
        </w:rPr>
        <w:t xml:space="preserve"> est responsable d’une maladie intestinale de l’abeille domestique appelée nosémose. Cet insecte pollinisateur est largement reconnue comme bénéfique dans les domaines économique et écologique. Depuis plusieurs années, un phénomène d’affaiblissement et de mortalité des colonies d’abeilles est déploré par l’impact délétère de facteurs environnementaux et biologiques dont </w:t>
      </w:r>
      <w:r w:rsidRPr="00BC192C">
        <w:rPr>
          <w:rFonts w:ascii="Arial" w:hAnsi="Arial" w:cs="Arial"/>
          <w:i/>
          <w:sz w:val="20"/>
        </w:rPr>
        <w:t xml:space="preserve">N. </w:t>
      </w:r>
      <w:proofErr w:type="spellStart"/>
      <w:r w:rsidRPr="00BC192C">
        <w:rPr>
          <w:rFonts w:ascii="Arial" w:hAnsi="Arial" w:cs="Arial"/>
          <w:i/>
          <w:sz w:val="20"/>
        </w:rPr>
        <w:t>ceranae</w:t>
      </w:r>
      <w:proofErr w:type="spellEnd"/>
      <w:r w:rsidRPr="00BC192C">
        <w:rPr>
          <w:rFonts w:ascii="Arial" w:hAnsi="Arial" w:cs="Arial"/>
          <w:sz w:val="20"/>
        </w:rPr>
        <w:t xml:space="preserve">. Le seul traitement vétérinaire efficace pour lutter contre </w:t>
      </w:r>
      <w:r w:rsidRPr="00BC192C">
        <w:rPr>
          <w:rFonts w:ascii="Arial" w:hAnsi="Arial" w:cs="Arial"/>
          <w:i/>
          <w:sz w:val="20"/>
        </w:rPr>
        <w:t xml:space="preserve">N. </w:t>
      </w:r>
      <w:proofErr w:type="spellStart"/>
      <w:r w:rsidRPr="00BC192C">
        <w:rPr>
          <w:rFonts w:ascii="Arial" w:hAnsi="Arial" w:cs="Arial"/>
          <w:i/>
          <w:sz w:val="20"/>
        </w:rPr>
        <w:t>ceranae</w:t>
      </w:r>
      <w:proofErr w:type="spellEnd"/>
      <w:r w:rsidRPr="00BC192C">
        <w:rPr>
          <w:rFonts w:ascii="Arial" w:hAnsi="Arial" w:cs="Arial"/>
          <w:sz w:val="20"/>
        </w:rPr>
        <w:t xml:space="preserve">, le </w:t>
      </w:r>
      <w:proofErr w:type="spellStart"/>
      <w:r w:rsidRPr="00BC192C">
        <w:rPr>
          <w:rFonts w:ascii="Arial" w:hAnsi="Arial" w:cs="Arial"/>
          <w:sz w:val="20"/>
        </w:rPr>
        <w:t>Fumidil</w:t>
      </w:r>
      <w:proofErr w:type="spellEnd"/>
      <w:r w:rsidRPr="00BC192C">
        <w:rPr>
          <w:rFonts w:ascii="Arial" w:hAnsi="Arial" w:cs="Arial"/>
          <w:sz w:val="20"/>
        </w:rPr>
        <w:t>® B (</w:t>
      </w:r>
      <w:proofErr w:type="spellStart"/>
      <w:r w:rsidRPr="00BC192C">
        <w:rPr>
          <w:rFonts w:ascii="Arial" w:hAnsi="Arial" w:cs="Arial"/>
          <w:sz w:val="20"/>
        </w:rPr>
        <w:t>fumagilline</w:t>
      </w:r>
      <w:proofErr w:type="spellEnd"/>
      <w:r w:rsidRPr="00BC192C">
        <w:rPr>
          <w:rFonts w:ascii="Arial" w:hAnsi="Arial" w:cs="Arial"/>
          <w:sz w:val="20"/>
        </w:rPr>
        <w:t xml:space="preserve">) n’est plus disponible sur le marché, justifiant la nécessité de trouver des alternatives à la </w:t>
      </w:r>
      <w:proofErr w:type="spellStart"/>
      <w:r w:rsidRPr="00BC192C">
        <w:rPr>
          <w:rFonts w:ascii="Arial" w:hAnsi="Arial" w:cs="Arial"/>
          <w:sz w:val="20"/>
        </w:rPr>
        <w:t>fumagilline</w:t>
      </w:r>
      <w:proofErr w:type="spellEnd"/>
      <w:r w:rsidRPr="00BC192C">
        <w:rPr>
          <w:rFonts w:ascii="Arial" w:hAnsi="Arial" w:cs="Arial"/>
          <w:sz w:val="20"/>
        </w:rPr>
        <w:t>.</w:t>
      </w:r>
    </w:p>
    <w:p w:rsidR="005C269E" w:rsidRPr="00EC146C" w:rsidRDefault="005C269E" w:rsidP="00363C0D">
      <w:pPr>
        <w:tabs>
          <w:tab w:val="left" w:pos="280"/>
          <w:tab w:val="left" w:pos="580"/>
          <w:tab w:val="left" w:pos="1560"/>
        </w:tabs>
        <w:jc w:val="both"/>
        <w:rPr>
          <w:rFonts w:ascii="Arial" w:hAnsi="Arial" w:cs="Arial"/>
          <w:sz w:val="20"/>
        </w:rPr>
      </w:pPr>
      <w:r w:rsidRPr="00BC192C">
        <w:rPr>
          <w:rFonts w:ascii="Arial" w:hAnsi="Arial" w:cs="Arial"/>
          <w:sz w:val="20"/>
        </w:rPr>
        <w:t xml:space="preserve">Des produits naturels d’origine végétale ont montré leur capacité à réduire la mortalité des abeilles infectées par </w:t>
      </w:r>
      <w:r w:rsidRPr="00BC192C">
        <w:rPr>
          <w:rFonts w:ascii="Arial" w:hAnsi="Arial" w:cs="Arial"/>
          <w:i/>
          <w:sz w:val="20"/>
        </w:rPr>
        <w:t xml:space="preserve">N. </w:t>
      </w:r>
      <w:proofErr w:type="spellStart"/>
      <w:r w:rsidRPr="00BC192C">
        <w:rPr>
          <w:rFonts w:ascii="Arial" w:hAnsi="Arial" w:cs="Arial"/>
          <w:i/>
          <w:sz w:val="20"/>
        </w:rPr>
        <w:t>ceranae</w:t>
      </w:r>
      <w:proofErr w:type="spellEnd"/>
      <w:r w:rsidRPr="00BC192C">
        <w:rPr>
          <w:rFonts w:ascii="Arial" w:hAnsi="Arial" w:cs="Arial"/>
          <w:sz w:val="20"/>
        </w:rPr>
        <w:t xml:space="preserve"> et la charge parasitaire par abeille lors d’essais réalisés en laboratoire et en conditions semi-naturelles (brevet déposé). Parmi eux, l’</w:t>
      </w:r>
      <w:proofErr w:type="spellStart"/>
      <w:r w:rsidRPr="00BC192C">
        <w:rPr>
          <w:rFonts w:ascii="Arial" w:hAnsi="Arial" w:cs="Arial"/>
          <w:sz w:val="20"/>
        </w:rPr>
        <w:t>éthylgallate</w:t>
      </w:r>
      <w:proofErr w:type="spellEnd"/>
      <w:r w:rsidRPr="00BC192C">
        <w:rPr>
          <w:rFonts w:ascii="Arial" w:hAnsi="Arial" w:cs="Arial"/>
          <w:sz w:val="20"/>
        </w:rPr>
        <w:t xml:space="preserve">, le plus actif contre </w:t>
      </w:r>
      <w:r w:rsidRPr="00BC192C">
        <w:rPr>
          <w:rFonts w:ascii="Arial" w:hAnsi="Arial" w:cs="Arial"/>
          <w:i/>
          <w:sz w:val="20"/>
        </w:rPr>
        <w:t xml:space="preserve">N. </w:t>
      </w:r>
      <w:proofErr w:type="spellStart"/>
      <w:r w:rsidRPr="00BC192C">
        <w:rPr>
          <w:rFonts w:ascii="Arial" w:hAnsi="Arial" w:cs="Arial"/>
          <w:i/>
          <w:sz w:val="20"/>
        </w:rPr>
        <w:t>ceranae</w:t>
      </w:r>
      <w:proofErr w:type="spellEnd"/>
      <w:r w:rsidRPr="00BC192C">
        <w:rPr>
          <w:rFonts w:ascii="Arial" w:hAnsi="Arial" w:cs="Arial"/>
          <w:sz w:val="20"/>
        </w:rPr>
        <w:t>, a été choisi pour être évalué en conditions naturelles. L’objectif de la thèse sera d’évaluer ce composé sur des colonies naturellement infectées par la parasite. Un partenariat est en place avec le Groupement de Défense Sanitaire Apicole (GDSA63), qui nous permet d’avoir un contact privilégié avec les apiculteurs de la région. Le 2e objectif consistera à décrypter le mécanisme d’action de ce produit. Un accent sera mis sur l’impact de ce traitement sur l’immunité de l’abeille. Ce projet permettra ainsi de proposer une nouvelle stratégie de lutte contre la nosémose des abeilles.</w:t>
      </w:r>
    </w:p>
    <w:p w:rsidR="002D7270" w:rsidRDefault="002D7270" w:rsidP="00363C0D">
      <w:pPr>
        <w:spacing w:after="200" w:line="276" w:lineRule="auto"/>
        <w:rPr>
          <w:rFonts w:asciiTheme="minorHAnsi" w:hAnsiTheme="minorHAnsi"/>
          <w:lang w:val="en-US"/>
        </w:rPr>
      </w:pPr>
      <w:r>
        <w:rPr>
          <w:rFonts w:asciiTheme="minorHAnsi" w:hAnsiTheme="minorHAnsi"/>
          <w:lang w:val="en-US"/>
        </w:rPr>
        <w:br w:type="page"/>
      </w:r>
    </w:p>
    <w:p w:rsidR="002D7270" w:rsidRDefault="002D7270" w:rsidP="00363C0D">
      <w:pPr>
        <w:pStyle w:val="Corpsdetexte"/>
        <w:tabs>
          <w:tab w:val="left" w:pos="1560"/>
        </w:tabs>
        <w:rPr>
          <w:rFonts w:ascii="Arial" w:hAnsi="Arial" w:cs="Arial"/>
          <w:b/>
          <w:i w:val="0"/>
          <w:sz w:val="20"/>
        </w:rPr>
      </w:pPr>
      <w:r>
        <w:rPr>
          <w:rFonts w:ascii="Arial" w:hAnsi="Arial" w:cs="Arial"/>
          <w:b/>
          <w:i w:val="0"/>
          <w:sz w:val="20"/>
        </w:rPr>
        <w:lastRenderedPageBreak/>
        <w:t xml:space="preserve">Directeur de thèse : </w:t>
      </w:r>
      <w:r>
        <w:rPr>
          <w:rFonts w:ascii="Arial" w:hAnsi="Arial" w:cs="Arial"/>
          <w:i w:val="0"/>
          <w:sz w:val="20"/>
        </w:rPr>
        <w:t>Cécile Lepère (MCU)</w:t>
      </w:r>
    </w:p>
    <w:p w:rsidR="002D7270" w:rsidRPr="00011A9F" w:rsidRDefault="00363C0D" w:rsidP="00363C0D">
      <w:pPr>
        <w:pStyle w:val="Corpsdetexte"/>
        <w:tabs>
          <w:tab w:val="left" w:pos="1560"/>
        </w:tabs>
        <w:rPr>
          <w:rFonts w:ascii="Arial" w:hAnsi="Arial" w:cs="Arial"/>
          <w:sz w:val="20"/>
        </w:rPr>
      </w:pPr>
      <w:hyperlink r:id="rId17" w:history="1">
        <w:r w:rsidRPr="00FF45EF">
          <w:rPr>
            <w:rStyle w:val="Lienhypertexte"/>
            <w:rFonts w:ascii="Arial" w:hAnsi="Arial" w:cs="Arial"/>
            <w:sz w:val="20"/>
          </w:rPr>
          <w:t>cecile.lepere@UCA.fr</w:t>
        </w:r>
      </w:hyperlink>
      <w:r>
        <w:rPr>
          <w:rFonts w:ascii="Arial" w:hAnsi="Arial" w:cs="Arial"/>
          <w:sz w:val="20"/>
        </w:rPr>
        <w:t xml:space="preserve"> </w:t>
      </w:r>
    </w:p>
    <w:p w:rsidR="002D7270" w:rsidRDefault="002D7270" w:rsidP="00363C0D">
      <w:pPr>
        <w:pStyle w:val="rprtbody"/>
        <w:tabs>
          <w:tab w:val="left" w:pos="1560"/>
        </w:tabs>
        <w:spacing w:beforeAutospacing="0" w:afterAutospacing="0"/>
        <w:jc w:val="both"/>
        <w:rPr>
          <w:rFonts w:ascii="Arial" w:hAnsi="Arial" w:cs="Arial"/>
          <w:b/>
          <w:sz w:val="20"/>
        </w:rPr>
      </w:pPr>
      <w:r>
        <w:rPr>
          <w:rFonts w:ascii="Arial" w:hAnsi="Arial" w:cs="Arial"/>
          <w:b/>
          <w:sz w:val="20"/>
        </w:rPr>
        <w:t>Les eucaryotes unicellulaires :</w:t>
      </w:r>
      <w:r w:rsidRPr="00AF1BAF">
        <w:rPr>
          <w:rFonts w:ascii="Arial" w:hAnsi="Arial" w:cs="Arial"/>
          <w:b/>
          <w:sz w:val="20"/>
        </w:rPr>
        <w:t xml:space="preserve"> </w:t>
      </w:r>
      <w:r>
        <w:rPr>
          <w:rFonts w:ascii="Arial" w:hAnsi="Arial" w:cs="Arial"/>
          <w:b/>
          <w:sz w:val="20"/>
        </w:rPr>
        <w:t>la face cachée de l’iceberg microbien </w:t>
      </w:r>
    </w:p>
    <w:p w:rsidR="002D7270" w:rsidRPr="00C72244" w:rsidRDefault="002D7270" w:rsidP="00363C0D">
      <w:pPr>
        <w:pStyle w:val="rprtbody"/>
        <w:tabs>
          <w:tab w:val="left" w:pos="1560"/>
        </w:tabs>
        <w:spacing w:beforeAutospacing="0" w:afterAutospacing="0"/>
        <w:jc w:val="both"/>
      </w:pPr>
      <w:r>
        <w:rPr>
          <w:rFonts w:ascii="Arial" w:hAnsi="Arial"/>
          <w:sz w:val="20"/>
          <w:szCs w:val="20"/>
        </w:rPr>
        <w:t xml:space="preserve">Les microorganismes sont des acteurs essentiels dans les cycles </w:t>
      </w:r>
      <w:proofErr w:type="spellStart"/>
      <w:r>
        <w:rPr>
          <w:rFonts w:ascii="Arial" w:hAnsi="Arial"/>
          <w:sz w:val="20"/>
          <w:szCs w:val="20"/>
        </w:rPr>
        <w:t>biogéochimiques</w:t>
      </w:r>
      <w:proofErr w:type="spellEnd"/>
      <w:r>
        <w:rPr>
          <w:rFonts w:ascii="Arial" w:hAnsi="Arial"/>
          <w:sz w:val="20"/>
          <w:szCs w:val="20"/>
        </w:rPr>
        <w:t xml:space="preserve">. Ces dernières années, les approches d’écologie moléculaire ont permis de faire émerger de nouvelles connaissances sur les eucaryotes unicellulaires aquatiques et ont mis en </w:t>
      </w:r>
      <w:proofErr w:type="spellStart"/>
      <w:r>
        <w:rPr>
          <w:rFonts w:ascii="Arial" w:hAnsi="Arial"/>
          <w:sz w:val="20"/>
          <w:szCs w:val="20"/>
        </w:rPr>
        <w:t>lumière</w:t>
      </w:r>
      <w:proofErr w:type="spellEnd"/>
      <w:r>
        <w:rPr>
          <w:rFonts w:ascii="Arial" w:hAnsi="Arial"/>
          <w:sz w:val="20"/>
          <w:szCs w:val="20"/>
        </w:rPr>
        <w:t xml:space="preserve"> une </w:t>
      </w:r>
      <w:proofErr w:type="spellStart"/>
      <w:r>
        <w:rPr>
          <w:rFonts w:ascii="Arial" w:hAnsi="Arial"/>
          <w:sz w:val="20"/>
          <w:szCs w:val="20"/>
        </w:rPr>
        <w:t>diversite</w:t>
      </w:r>
      <w:proofErr w:type="spellEnd"/>
      <w:r>
        <w:rPr>
          <w:rFonts w:ascii="Arial" w:hAnsi="Arial"/>
          <w:sz w:val="20"/>
          <w:szCs w:val="20"/>
        </w:rPr>
        <w:t xml:space="preserve">́ </w:t>
      </w:r>
      <w:proofErr w:type="spellStart"/>
      <w:r>
        <w:rPr>
          <w:rFonts w:ascii="Arial" w:hAnsi="Arial"/>
          <w:sz w:val="20"/>
          <w:szCs w:val="20"/>
        </w:rPr>
        <w:t>insoupçonnée</w:t>
      </w:r>
      <w:proofErr w:type="spellEnd"/>
      <w:r>
        <w:rPr>
          <w:rFonts w:ascii="Arial" w:hAnsi="Arial"/>
          <w:sz w:val="20"/>
          <w:szCs w:val="20"/>
        </w:rPr>
        <w:t xml:space="preserve"> du </w:t>
      </w:r>
      <w:proofErr w:type="spellStart"/>
      <w:r>
        <w:rPr>
          <w:rFonts w:ascii="Arial" w:hAnsi="Arial"/>
          <w:sz w:val="20"/>
          <w:szCs w:val="20"/>
        </w:rPr>
        <w:t>même</w:t>
      </w:r>
      <w:proofErr w:type="spellEnd"/>
      <w:r>
        <w:rPr>
          <w:rFonts w:ascii="Arial" w:hAnsi="Arial"/>
          <w:sz w:val="20"/>
          <w:szCs w:val="20"/>
        </w:rPr>
        <w:t xml:space="preserve"> ordre de grandeur que celle observée pour les </w:t>
      </w:r>
      <w:proofErr w:type="spellStart"/>
      <w:r>
        <w:rPr>
          <w:rFonts w:ascii="Arial" w:hAnsi="Arial"/>
          <w:sz w:val="20"/>
          <w:szCs w:val="20"/>
        </w:rPr>
        <w:t>Bactéries</w:t>
      </w:r>
      <w:proofErr w:type="spellEnd"/>
      <w:r>
        <w:rPr>
          <w:rFonts w:ascii="Arial" w:hAnsi="Arial"/>
          <w:sz w:val="20"/>
          <w:szCs w:val="20"/>
        </w:rPr>
        <w:t xml:space="preserve"> et les </w:t>
      </w:r>
      <w:proofErr w:type="spellStart"/>
      <w:r>
        <w:rPr>
          <w:rFonts w:ascii="Arial" w:hAnsi="Arial"/>
          <w:sz w:val="20"/>
          <w:szCs w:val="20"/>
        </w:rPr>
        <w:t>Archaea</w:t>
      </w:r>
      <w:proofErr w:type="spellEnd"/>
      <w:r>
        <w:rPr>
          <w:rFonts w:ascii="Arial" w:hAnsi="Arial"/>
          <w:sz w:val="20"/>
          <w:szCs w:val="20"/>
        </w:rPr>
        <w:t xml:space="preserve">. Cependant, ces études essentiellement descriptives ne permettent pas de comprendre le </w:t>
      </w:r>
      <w:proofErr w:type="spellStart"/>
      <w:r>
        <w:rPr>
          <w:rFonts w:ascii="Arial" w:hAnsi="Arial"/>
          <w:sz w:val="20"/>
          <w:szCs w:val="20"/>
        </w:rPr>
        <w:t>rôle</w:t>
      </w:r>
      <w:proofErr w:type="spellEnd"/>
      <w:r>
        <w:rPr>
          <w:rFonts w:ascii="Arial" w:hAnsi="Arial"/>
          <w:sz w:val="20"/>
          <w:szCs w:val="20"/>
        </w:rPr>
        <w:t xml:space="preserve"> de ces microorganismes dans les écosystèmes qui est alors déduit à partir de leur position </w:t>
      </w:r>
      <w:proofErr w:type="spellStart"/>
      <w:r>
        <w:rPr>
          <w:rFonts w:ascii="Arial" w:hAnsi="Arial"/>
          <w:sz w:val="20"/>
          <w:szCs w:val="20"/>
        </w:rPr>
        <w:t>phylogénétique</w:t>
      </w:r>
      <w:proofErr w:type="spellEnd"/>
      <w:r>
        <w:rPr>
          <w:rFonts w:ascii="Arial" w:hAnsi="Arial"/>
          <w:sz w:val="20"/>
          <w:szCs w:val="20"/>
        </w:rPr>
        <w:t xml:space="preserve">, ne donnant ainsi qu’une vision peu </w:t>
      </w:r>
      <w:proofErr w:type="spellStart"/>
      <w:r>
        <w:rPr>
          <w:rFonts w:ascii="Arial" w:hAnsi="Arial"/>
          <w:sz w:val="20"/>
          <w:szCs w:val="20"/>
        </w:rPr>
        <w:t>précise</w:t>
      </w:r>
      <w:proofErr w:type="spellEnd"/>
      <w:r>
        <w:rPr>
          <w:rFonts w:ascii="Arial" w:hAnsi="Arial"/>
          <w:sz w:val="20"/>
          <w:szCs w:val="20"/>
        </w:rPr>
        <w:t xml:space="preserve"> de leur fonction (phototrophe, hétérotrophe ou parasite). </w:t>
      </w:r>
    </w:p>
    <w:p w:rsidR="002D7270" w:rsidRPr="00C72244" w:rsidRDefault="002D7270" w:rsidP="00363C0D">
      <w:pPr>
        <w:pStyle w:val="rprtbody"/>
        <w:tabs>
          <w:tab w:val="left" w:pos="1560"/>
        </w:tabs>
        <w:spacing w:beforeAutospacing="0" w:afterAutospacing="0"/>
        <w:jc w:val="both"/>
      </w:pPr>
      <w:r>
        <w:rPr>
          <w:rFonts w:ascii="Arial" w:hAnsi="Arial"/>
          <w:sz w:val="20"/>
          <w:szCs w:val="20"/>
        </w:rPr>
        <w:t xml:space="preserve">Cette </w:t>
      </w:r>
      <w:r w:rsidRPr="00AF1BAF">
        <w:rPr>
          <w:rFonts w:ascii="Arial" w:hAnsi="Arial"/>
          <w:sz w:val="20"/>
          <w:szCs w:val="20"/>
        </w:rPr>
        <w:t>thèse vise à approfondir</w:t>
      </w:r>
      <w:r>
        <w:rPr>
          <w:rFonts w:ascii="Arial" w:hAnsi="Arial"/>
          <w:sz w:val="20"/>
          <w:szCs w:val="20"/>
        </w:rPr>
        <w:t xml:space="preserve"> notre connaissance sur le </w:t>
      </w:r>
      <w:proofErr w:type="spellStart"/>
      <w:r>
        <w:rPr>
          <w:rFonts w:ascii="Arial" w:hAnsi="Arial"/>
          <w:sz w:val="20"/>
          <w:szCs w:val="20"/>
        </w:rPr>
        <w:t>rôle</w:t>
      </w:r>
      <w:proofErr w:type="spellEnd"/>
      <w:r>
        <w:rPr>
          <w:rFonts w:ascii="Arial" w:hAnsi="Arial"/>
          <w:sz w:val="20"/>
          <w:szCs w:val="20"/>
        </w:rPr>
        <w:t xml:space="preserve"> fonctionnel des eucaryotes </w:t>
      </w:r>
      <w:r w:rsidRPr="00A3547F">
        <w:rPr>
          <w:rFonts w:ascii="Arial" w:hAnsi="Arial" w:cs="Arial"/>
          <w:sz w:val="20"/>
        </w:rPr>
        <w:t>unicellulaires</w:t>
      </w:r>
      <w:r>
        <w:rPr>
          <w:rFonts w:ascii="Arial" w:hAnsi="Arial"/>
          <w:sz w:val="20"/>
          <w:szCs w:val="20"/>
        </w:rPr>
        <w:t xml:space="preserve"> lacustres en couplant des approches -</w:t>
      </w:r>
      <w:proofErr w:type="spellStart"/>
      <w:r>
        <w:rPr>
          <w:rFonts w:ascii="Arial" w:hAnsi="Arial"/>
          <w:sz w:val="20"/>
          <w:szCs w:val="20"/>
        </w:rPr>
        <w:t>omics</w:t>
      </w:r>
      <w:proofErr w:type="spellEnd"/>
      <w:r>
        <w:rPr>
          <w:rFonts w:ascii="Arial" w:hAnsi="Arial"/>
          <w:sz w:val="20"/>
          <w:szCs w:val="20"/>
        </w:rPr>
        <w:t xml:space="preserve"> innovantes (</w:t>
      </w:r>
      <w:proofErr w:type="spellStart"/>
      <w:r>
        <w:rPr>
          <w:rFonts w:ascii="Arial" w:hAnsi="Arial"/>
          <w:sz w:val="20"/>
          <w:szCs w:val="20"/>
        </w:rPr>
        <w:t>e.g</w:t>
      </w:r>
      <w:proofErr w:type="spellEnd"/>
      <w:r>
        <w:rPr>
          <w:rFonts w:ascii="Arial" w:hAnsi="Arial"/>
          <w:sz w:val="20"/>
          <w:szCs w:val="20"/>
        </w:rPr>
        <w:t xml:space="preserve">. analyse de génomes à partir de cellules uniques isolées grâce à la </w:t>
      </w:r>
      <w:proofErr w:type="spellStart"/>
      <w:r>
        <w:rPr>
          <w:rFonts w:ascii="Arial" w:hAnsi="Arial"/>
          <w:sz w:val="20"/>
          <w:szCs w:val="20"/>
        </w:rPr>
        <w:t>cytométrie</w:t>
      </w:r>
      <w:proofErr w:type="spellEnd"/>
      <w:r>
        <w:rPr>
          <w:rFonts w:ascii="Arial" w:hAnsi="Arial"/>
          <w:sz w:val="20"/>
          <w:szCs w:val="20"/>
        </w:rPr>
        <w:t xml:space="preserve"> en flux).</w:t>
      </w:r>
    </w:p>
    <w:p w:rsidR="002D7270" w:rsidRDefault="002D7270" w:rsidP="00363C0D">
      <w:pPr>
        <w:pStyle w:val="rprtbody"/>
        <w:tabs>
          <w:tab w:val="left" w:pos="1560"/>
        </w:tabs>
        <w:spacing w:beforeAutospacing="0" w:afterAutospacing="0"/>
        <w:jc w:val="both"/>
        <w:rPr>
          <w:rFonts w:ascii="Arial" w:hAnsi="Arial"/>
          <w:sz w:val="20"/>
          <w:szCs w:val="20"/>
        </w:rPr>
      </w:pPr>
      <w:r>
        <w:rPr>
          <w:rFonts w:ascii="Arial" w:hAnsi="Arial"/>
          <w:sz w:val="20"/>
          <w:szCs w:val="20"/>
        </w:rPr>
        <w:t xml:space="preserve">Les principaux objectifs </w:t>
      </w:r>
      <w:proofErr w:type="gramStart"/>
      <w:r>
        <w:rPr>
          <w:rFonts w:ascii="Arial" w:hAnsi="Arial"/>
          <w:sz w:val="20"/>
          <w:szCs w:val="20"/>
        </w:rPr>
        <w:t>seront:</w:t>
      </w:r>
      <w:proofErr w:type="gramEnd"/>
    </w:p>
    <w:p w:rsidR="002D7270" w:rsidRPr="00C72244" w:rsidRDefault="002D7270" w:rsidP="00363C0D">
      <w:pPr>
        <w:pStyle w:val="rprtbody"/>
        <w:tabs>
          <w:tab w:val="left" w:pos="1560"/>
        </w:tabs>
        <w:spacing w:beforeAutospacing="0" w:afterAutospacing="0"/>
        <w:jc w:val="both"/>
      </w:pPr>
      <w:r>
        <w:rPr>
          <w:rFonts w:ascii="Arial" w:hAnsi="Arial"/>
          <w:sz w:val="20"/>
          <w:szCs w:val="20"/>
        </w:rPr>
        <w:t xml:space="preserve">1) De développer et mettre en œuvre les approches de </w:t>
      </w:r>
      <w:proofErr w:type="spellStart"/>
      <w:r>
        <w:rPr>
          <w:rFonts w:ascii="Arial" w:hAnsi="Arial"/>
          <w:sz w:val="20"/>
          <w:szCs w:val="20"/>
        </w:rPr>
        <w:t>métatranscriptomique</w:t>
      </w:r>
      <w:proofErr w:type="spellEnd"/>
      <w:r>
        <w:rPr>
          <w:rFonts w:ascii="Arial" w:hAnsi="Arial"/>
          <w:sz w:val="20"/>
          <w:szCs w:val="20"/>
        </w:rPr>
        <w:t xml:space="preserve"> et de génomique sur « single </w:t>
      </w:r>
      <w:proofErr w:type="spellStart"/>
      <w:r>
        <w:rPr>
          <w:rFonts w:ascii="Arial" w:hAnsi="Arial"/>
          <w:sz w:val="20"/>
          <w:szCs w:val="20"/>
        </w:rPr>
        <w:t>cell</w:t>
      </w:r>
      <w:proofErr w:type="spellEnd"/>
      <w:r>
        <w:rPr>
          <w:rFonts w:ascii="Arial" w:hAnsi="Arial"/>
          <w:sz w:val="20"/>
          <w:szCs w:val="20"/>
        </w:rPr>
        <w:t> » appliquées aux eucaryotes unicellulaires.</w:t>
      </w:r>
    </w:p>
    <w:p w:rsidR="002D7270" w:rsidRDefault="002D7270" w:rsidP="00363C0D">
      <w:pPr>
        <w:pStyle w:val="rprtbody"/>
        <w:tabs>
          <w:tab w:val="left" w:pos="1560"/>
        </w:tabs>
        <w:spacing w:beforeAutospacing="0" w:afterAutospacing="0"/>
        <w:jc w:val="both"/>
        <w:rPr>
          <w:rFonts w:ascii="Arial" w:hAnsi="Arial"/>
          <w:sz w:val="20"/>
          <w:szCs w:val="20"/>
        </w:rPr>
      </w:pPr>
      <w:r>
        <w:rPr>
          <w:rFonts w:ascii="Arial" w:hAnsi="Arial"/>
          <w:sz w:val="20"/>
          <w:szCs w:val="20"/>
        </w:rPr>
        <w:t>2) À partir des gènes exprimés et des génomes obtenus, inférer le potentiel métabolique des eucaryotes unicellulaires non cultivés (</w:t>
      </w:r>
      <w:proofErr w:type="spellStart"/>
      <w:r>
        <w:rPr>
          <w:rFonts w:ascii="Arial" w:hAnsi="Arial"/>
          <w:sz w:val="20"/>
          <w:szCs w:val="20"/>
        </w:rPr>
        <w:t>e.g</w:t>
      </w:r>
      <w:proofErr w:type="spellEnd"/>
      <w:r>
        <w:rPr>
          <w:rFonts w:ascii="Arial" w:hAnsi="Arial"/>
          <w:sz w:val="20"/>
          <w:szCs w:val="20"/>
        </w:rPr>
        <w:t xml:space="preserve">. adaptation à l’anoxie, </w:t>
      </w:r>
      <w:proofErr w:type="spellStart"/>
      <w:r>
        <w:rPr>
          <w:rFonts w:ascii="Arial" w:hAnsi="Arial"/>
          <w:sz w:val="20"/>
          <w:szCs w:val="20"/>
        </w:rPr>
        <w:t>mixotrophie</w:t>
      </w:r>
      <w:proofErr w:type="spellEnd"/>
      <w:r>
        <w:rPr>
          <w:rFonts w:ascii="Arial" w:hAnsi="Arial"/>
          <w:sz w:val="20"/>
          <w:szCs w:val="20"/>
        </w:rPr>
        <w:t xml:space="preserve">, parasitisme) afin de comprendre leurs rôles dans les écosystèmes lacustres. </w:t>
      </w:r>
    </w:p>
    <w:p w:rsidR="002D7270" w:rsidRDefault="002D7270" w:rsidP="00363C0D">
      <w:pPr>
        <w:pStyle w:val="rprtbody"/>
        <w:tabs>
          <w:tab w:val="left" w:pos="1560"/>
        </w:tabs>
        <w:spacing w:beforeAutospacing="0" w:afterAutospacing="0"/>
        <w:jc w:val="both"/>
      </w:pPr>
      <w:r>
        <w:rPr>
          <w:rFonts w:ascii="Arial" w:hAnsi="Arial"/>
          <w:sz w:val="20"/>
          <w:szCs w:val="20"/>
        </w:rPr>
        <w:t xml:space="preserve">En fonction du profil du candidat, ce sujet pourra s’orienter sur des approches principalement expérimentales ou </w:t>
      </w:r>
      <w:proofErr w:type="spellStart"/>
      <w:r>
        <w:rPr>
          <w:rFonts w:ascii="Arial" w:hAnsi="Arial"/>
          <w:sz w:val="20"/>
          <w:szCs w:val="20"/>
        </w:rPr>
        <w:t>bioinformatiques</w:t>
      </w:r>
      <w:proofErr w:type="spellEnd"/>
      <w:r>
        <w:rPr>
          <w:rFonts w:ascii="Arial" w:hAnsi="Arial"/>
          <w:sz w:val="20"/>
          <w:szCs w:val="20"/>
        </w:rPr>
        <w:t>.</w:t>
      </w:r>
    </w:p>
    <w:p w:rsidR="00363C0D" w:rsidRDefault="00363C0D" w:rsidP="00363C0D">
      <w:pPr>
        <w:pStyle w:val="rprtbody"/>
        <w:tabs>
          <w:tab w:val="left" w:pos="1560"/>
        </w:tabs>
        <w:spacing w:beforeAutospacing="0" w:afterAutospacing="0"/>
        <w:jc w:val="both"/>
        <w:rPr>
          <w:rFonts w:ascii="Arial" w:hAnsi="Arial" w:cs="Arial"/>
          <w:sz w:val="20"/>
          <w:lang w:val="en-US"/>
        </w:rPr>
      </w:pPr>
    </w:p>
    <w:p w:rsidR="002D7270" w:rsidRDefault="002D7270" w:rsidP="00363C0D">
      <w:pPr>
        <w:pStyle w:val="rprtbody"/>
        <w:tabs>
          <w:tab w:val="left" w:pos="1560"/>
        </w:tabs>
        <w:spacing w:beforeAutospacing="0" w:afterAutospacing="0"/>
        <w:jc w:val="both"/>
        <w:rPr>
          <w:rFonts w:ascii="Arial" w:hAnsi="Arial"/>
          <w:sz w:val="20"/>
          <w:szCs w:val="20"/>
        </w:rPr>
      </w:pPr>
      <w:proofErr w:type="spellStart"/>
      <w:r>
        <w:rPr>
          <w:rFonts w:ascii="Arial" w:hAnsi="Arial" w:cs="Arial"/>
          <w:sz w:val="20"/>
          <w:lang w:val="en-US"/>
        </w:rPr>
        <w:t>Jobard</w:t>
      </w:r>
      <w:proofErr w:type="spellEnd"/>
      <w:r>
        <w:rPr>
          <w:rFonts w:ascii="Arial" w:hAnsi="Arial" w:cs="Arial"/>
          <w:sz w:val="20"/>
          <w:lang w:val="en-US"/>
        </w:rPr>
        <w:t xml:space="preserve"> et al. 2020.</w:t>
      </w:r>
      <w:r w:rsidRPr="00014F24">
        <w:rPr>
          <w:rFonts w:ascii="Arial" w:hAnsi="Arial" w:cs="Arial"/>
          <w:sz w:val="20"/>
          <w:lang w:val="en-US"/>
        </w:rPr>
        <w:t xml:space="preserve"> Freshwater </w:t>
      </w:r>
      <w:proofErr w:type="spellStart"/>
      <w:r w:rsidRPr="00014F24">
        <w:rPr>
          <w:rFonts w:ascii="Arial" w:hAnsi="Arial" w:cs="Arial"/>
          <w:sz w:val="20"/>
          <w:lang w:val="en-US"/>
        </w:rPr>
        <w:t>Perkinsea</w:t>
      </w:r>
      <w:proofErr w:type="spellEnd"/>
      <w:r w:rsidRPr="00014F24">
        <w:rPr>
          <w:rFonts w:ascii="Arial" w:hAnsi="Arial" w:cs="Arial"/>
          <w:sz w:val="20"/>
          <w:lang w:val="en-US"/>
        </w:rPr>
        <w:t>: diversity, ecology and genomic information. Journal of plankton research. 42: 3–17.</w:t>
      </w:r>
    </w:p>
    <w:p w:rsidR="00EE79D0" w:rsidRDefault="002D7270" w:rsidP="00363C0D">
      <w:pPr>
        <w:rPr>
          <w:rStyle w:val="cit"/>
          <w:rFonts w:ascii="Arial" w:hAnsi="Arial" w:cs="Arial"/>
          <w:sz w:val="20"/>
        </w:rPr>
      </w:pPr>
      <w:r>
        <w:rPr>
          <w:rFonts w:ascii="Arial" w:hAnsi="Arial" w:cs="Arial"/>
          <w:sz w:val="20"/>
        </w:rPr>
        <w:t xml:space="preserve">Lepère et al. 2016. </w:t>
      </w:r>
      <w:proofErr w:type="spellStart"/>
      <w:r>
        <w:rPr>
          <w:rFonts w:ascii="Arial" w:hAnsi="Arial" w:cs="Arial"/>
          <w:sz w:val="20"/>
        </w:rPr>
        <w:t>Diversity</w:t>
      </w:r>
      <w:proofErr w:type="spellEnd"/>
      <w:r>
        <w:rPr>
          <w:rFonts w:ascii="Arial" w:hAnsi="Arial" w:cs="Arial"/>
          <w:sz w:val="20"/>
        </w:rPr>
        <w:t xml:space="preserve"> and </w:t>
      </w:r>
      <w:proofErr w:type="spellStart"/>
      <w:r>
        <w:rPr>
          <w:rFonts w:ascii="Arial" w:hAnsi="Arial" w:cs="Arial"/>
          <w:sz w:val="20"/>
        </w:rPr>
        <w:t>dynamics</w:t>
      </w:r>
      <w:proofErr w:type="spellEnd"/>
      <w:r>
        <w:rPr>
          <w:rFonts w:ascii="Arial" w:hAnsi="Arial" w:cs="Arial"/>
          <w:sz w:val="20"/>
        </w:rPr>
        <w:t xml:space="preserve"> of active </w:t>
      </w:r>
      <w:proofErr w:type="spellStart"/>
      <w:r>
        <w:rPr>
          <w:rFonts w:ascii="Arial" w:hAnsi="Arial" w:cs="Arial"/>
          <w:sz w:val="20"/>
        </w:rPr>
        <w:t>microbial</w:t>
      </w:r>
      <w:proofErr w:type="spellEnd"/>
      <w:r>
        <w:rPr>
          <w:rFonts w:ascii="Arial" w:hAnsi="Arial" w:cs="Arial"/>
          <w:sz w:val="20"/>
        </w:rPr>
        <w:t xml:space="preserve"> </w:t>
      </w:r>
      <w:proofErr w:type="spellStart"/>
      <w:r>
        <w:rPr>
          <w:rFonts w:ascii="Arial" w:hAnsi="Arial" w:cs="Arial"/>
          <w:sz w:val="20"/>
        </w:rPr>
        <w:t>eukaryotes</w:t>
      </w:r>
      <w:proofErr w:type="spellEnd"/>
      <w:r>
        <w:rPr>
          <w:rFonts w:ascii="Arial" w:hAnsi="Arial" w:cs="Arial"/>
          <w:sz w:val="20"/>
        </w:rPr>
        <w:t xml:space="preserve"> in the </w:t>
      </w:r>
      <w:proofErr w:type="spellStart"/>
      <w:r>
        <w:rPr>
          <w:rFonts w:ascii="Arial" w:hAnsi="Arial" w:cs="Arial"/>
          <w:sz w:val="20"/>
        </w:rPr>
        <w:t>anoxic</w:t>
      </w:r>
      <w:proofErr w:type="spellEnd"/>
      <w:r>
        <w:rPr>
          <w:rFonts w:ascii="Arial" w:hAnsi="Arial" w:cs="Arial"/>
          <w:sz w:val="20"/>
        </w:rPr>
        <w:t xml:space="preserve"> zone of a </w:t>
      </w:r>
      <w:proofErr w:type="spellStart"/>
      <w:r>
        <w:rPr>
          <w:rFonts w:ascii="Arial" w:hAnsi="Arial" w:cs="Arial"/>
          <w:sz w:val="20"/>
        </w:rPr>
        <w:t>freshwater</w:t>
      </w:r>
      <w:proofErr w:type="spellEnd"/>
      <w:r>
        <w:rPr>
          <w:rFonts w:ascii="Arial" w:hAnsi="Arial" w:cs="Arial"/>
          <w:sz w:val="20"/>
        </w:rPr>
        <w:t xml:space="preserve"> </w:t>
      </w:r>
      <w:proofErr w:type="spellStart"/>
      <w:r>
        <w:rPr>
          <w:rFonts w:ascii="Arial" w:hAnsi="Arial" w:cs="Arial"/>
          <w:sz w:val="20"/>
        </w:rPr>
        <w:t>meromictic</w:t>
      </w:r>
      <w:proofErr w:type="spellEnd"/>
      <w:r>
        <w:rPr>
          <w:rFonts w:ascii="Arial" w:hAnsi="Arial" w:cs="Arial"/>
          <w:sz w:val="20"/>
        </w:rPr>
        <w:t xml:space="preserve"> </w:t>
      </w:r>
      <w:proofErr w:type="spellStart"/>
      <w:r>
        <w:rPr>
          <w:rFonts w:ascii="Arial" w:hAnsi="Arial" w:cs="Arial"/>
          <w:sz w:val="20"/>
        </w:rPr>
        <w:t>lake</w:t>
      </w:r>
      <w:proofErr w:type="spellEnd"/>
      <w:r>
        <w:rPr>
          <w:rFonts w:ascii="Arial" w:hAnsi="Arial" w:cs="Arial"/>
          <w:sz w:val="20"/>
        </w:rPr>
        <w:t xml:space="preserve"> (Pavin, France). Front </w:t>
      </w:r>
      <w:proofErr w:type="spellStart"/>
      <w:r>
        <w:rPr>
          <w:rFonts w:ascii="Arial" w:hAnsi="Arial" w:cs="Arial"/>
          <w:sz w:val="20"/>
        </w:rPr>
        <w:t>Microbiol</w:t>
      </w:r>
      <w:proofErr w:type="spellEnd"/>
      <w:r>
        <w:rPr>
          <w:rFonts w:ascii="Arial" w:hAnsi="Arial" w:cs="Arial"/>
          <w:sz w:val="20"/>
        </w:rPr>
        <w:t xml:space="preserve"> </w:t>
      </w:r>
      <w:proofErr w:type="gramStart"/>
      <w:r>
        <w:rPr>
          <w:rStyle w:val="cit"/>
          <w:rFonts w:ascii="Arial" w:hAnsi="Arial" w:cs="Arial"/>
          <w:sz w:val="20"/>
        </w:rPr>
        <w:t>7:</w:t>
      </w:r>
      <w:proofErr w:type="gramEnd"/>
      <w:r>
        <w:rPr>
          <w:rStyle w:val="cit"/>
          <w:rFonts w:ascii="Arial" w:hAnsi="Arial" w:cs="Arial"/>
          <w:sz w:val="20"/>
        </w:rPr>
        <w:t xml:space="preserve"> 130</w:t>
      </w:r>
    </w:p>
    <w:p w:rsidR="00EE79D0" w:rsidRDefault="00EE79D0" w:rsidP="00363C0D">
      <w:pPr>
        <w:spacing w:after="200" w:line="276" w:lineRule="auto"/>
        <w:rPr>
          <w:rStyle w:val="cit"/>
          <w:rFonts w:ascii="Arial" w:hAnsi="Arial" w:cs="Arial"/>
          <w:sz w:val="20"/>
        </w:rPr>
      </w:pPr>
      <w:r>
        <w:rPr>
          <w:rStyle w:val="cit"/>
          <w:rFonts w:ascii="Arial" w:hAnsi="Arial" w:cs="Arial"/>
          <w:sz w:val="20"/>
        </w:rPr>
        <w:br w:type="page"/>
      </w:r>
    </w:p>
    <w:p w:rsidR="00EE79D0" w:rsidRPr="002972FF" w:rsidRDefault="00EE79D0" w:rsidP="00363C0D">
      <w:pPr>
        <w:pStyle w:val="Corpsdetexte"/>
        <w:tabs>
          <w:tab w:val="left" w:pos="1560"/>
        </w:tabs>
        <w:rPr>
          <w:rFonts w:ascii="Arial" w:hAnsi="Arial" w:cs="Arial"/>
          <w:b/>
          <w:i w:val="0"/>
          <w:sz w:val="20"/>
        </w:rPr>
      </w:pPr>
      <w:r w:rsidRPr="002972FF">
        <w:rPr>
          <w:rFonts w:ascii="Arial" w:hAnsi="Arial" w:cs="Arial"/>
          <w:b/>
          <w:i w:val="0"/>
          <w:sz w:val="20"/>
        </w:rPr>
        <w:lastRenderedPageBreak/>
        <w:t xml:space="preserve">Directeur de thèse : </w:t>
      </w:r>
      <w:proofErr w:type="spellStart"/>
      <w:r w:rsidRPr="002972FF">
        <w:rPr>
          <w:rFonts w:ascii="Arial" w:hAnsi="Arial" w:cs="Arial"/>
          <w:i w:val="0"/>
          <w:sz w:val="20"/>
        </w:rPr>
        <w:t>Eric</w:t>
      </w:r>
      <w:proofErr w:type="spellEnd"/>
      <w:r w:rsidRPr="002972FF">
        <w:rPr>
          <w:rFonts w:ascii="Arial" w:hAnsi="Arial" w:cs="Arial"/>
          <w:i w:val="0"/>
          <w:sz w:val="20"/>
        </w:rPr>
        <w:t xml:space="preserve"> </w:t>
      </w:r>
      <w:proofErr w:type="spellStart"/>
      <w:r w:rsidRPr="002972FF">
        <w:rPr>
          <w:rFonts w:ascii="Arial" w:hAnsi="Arial" w:cs="Arial"/>
          <w:i w:val="0"/>
          <w:sz w:val="20"/>
        </w:rPr>
        <w:t>Peyretaillade</w:t>
      </w:r>
      <w:proofErr w:type="spellEnd"/>
      <w:r w:rsidRPr="002972FF">
        <w:rPr>
          <w:rFonts w:ascii="Arial" w:hAnsi="Arial" w:cs="Arial"/>
          <w:i w:val="0"/>
          <w:sz w:val="20"/>
        </w:rPr>
        <w:t xml:space="preserve"> (MCU-HDR), co-directeur Ivan </w:t>
      </w:r>
      <w:proofErr w:type="spellStart"/>
      <w:r w:rsidRPr="002972FF">
        <w:rPr>
          <w:rFonts w:ascii="Arial" w:hAnsi="Arial" w:cs="Arial"/>
          <w:i w:val="0"/>
          <w:sz w:val="20"/>
        </w:rPr>
        <w:t>Wawrzyniak</w:t>
      </w:r>
      <w:proofErr w:type="spellEnd"/>
      <w:r w:rsidRPr="002972FF">
        <w:rPr>
          <w:rFonts w:ascii="Arial" w:hAnsi="Arial" w:cs="Arial"/>
          <w:i w:val="0"/>
          <w:sz w:val="20"/>
        </w:rPr>
        <w:t xml:space="preserve"> (IE</w:t>
      </w:r>
      <w:r>
        <w:rPr>
          <w:rFonts w:ascii="Arial" w:hAnsi="Arial" w:cs="Arial"/>
          <w:i w:val="0"/>
          <w:sz w:val="20"/>
        </w:rPr>
        <w:t xml:space="preserve"> CNRS</w:t>
      </w:r>
      <w:r w:rsidRPr="002972FF">
        <w:rPr>
          <w:rFonts w:ascii="Arial" w:hAnsi="Arial" w:cs="Arial"/>
          <w:i w:val="0"/>
          <w:sz w:val="20"/>
        </w:rPr>
        <w:t>)</w:t>
      </w:r>
    </w:p>
    <w:p w:rsidR="00EE79D0" w:rsidRPr="0046164F" w:rsidRDefault="00363C0D" w:rsidP="00363C0D">
      <w:pPr>
        <w:pStyle w:val="Corpsdetexte"/>
        <w:tabs>
          <w:tab w:val="left" w:pos="1560"/>
        </w:tabs>
        <w:rPr>
          <w:rFonts w:ascii="Arial" w:hAnsi="Arial" w:cs="Arial"/>
          <w:i w:val="0"/>
          <w:sz w:val="20"/>
        </w:rPr>
      </w:pPr>
      <w:hyperlink r:id="rId18" w:history="1">
        <w:r w:rsidRPr="00FF45EF">
          <w:rPr>
            <w:rStyle w:val="Lienhypertexte"/>
            <w:rFonts w:ascii="Arial" w:hAnsi="Arial" w:cs="Arial"/>
            <w:i w:val="0"/>
            <w:sz w:val="20"/>
          </w:rPr>
          <w:t>eric.peyretaillade@uca.fr</w:t>
        </w:r>
      </w:hyperlink>
      <w:r>
        <w:rPr>
          <w:rFonts w:ascii="Arial" w:hAnsi="Arial" w:cs="Arial"/>
          <w:i w:val="0"/>
          <w:sz w:val="20"/>
        </w:rPr>
        <w:t xml:space="preserve"> </w:t>
      </w:r>
      <w:r w:rsidR="00EE79D0" w:rsidRPr="0046164F">
        <w:rPr>
          <w:rFonts w:ascii="Arial" w:hAnsi="Arial" w:cs="Arial"/>
          <w:i w:val="0"/>
          <w:sz w:val="20"/>
        </w:rPr>
        <w:t xml:space="preserve"> </w:t>
      </w:r>
    </w:p>
    <w:p w:rsidR="00EE79D0" w:rsidRPr="002972FF" w:rsidRDefault="00EE79D0" w:rsidP="00363C0D">
      <w:pPr>
        <w:pStyle w:val="Corpsdetexte"/>
        <w:tabs>
          <w:tab w:val="left" w:pos="1560"/>
        </w:tabs>
        <w:ind w:firstLine="708"/>
        <w:rPr>
          <w:rFonts w:ascii="Arial" w:hAnsi="Arial" w:cs="Arial"/>
          <w:b/>
          <w:i w:val="0"/>
          <w:noProof/>
          <w:sz w:val="20"/>
        </w:rPr>
      </w:pPr>
    </w:p>
    <w:p w:rsidR="00EE79D0" w:rsidRPr="002972FF" w:rsidRDefault="00EE79D0" w:rsidP="00363C0D">
      <w:pPr>
        <w:pStyle w:val="Corpsdetexte"/>
        <w:tabs>
          <w:tab w:val="left" w:pos="1560"/>
        </w:tabs>
        <w:ind w:firstLine="708"/>
        <w:rPr>
          <w:rFonts w:ascii="Arial" w:hAnsi="Arial" w:cs="Arial"/>
          <w:b/>
          <w:sz w:val="20"/>
          <w:shd w:val="clear" w:color="auto" w:fill="FFFFFF"/>
        </w:rPr>
      </w:pPr>
      <w:r w:rsidRPr="002972FF">
        <w:rPr>
          <w:rStyle w:val="mediumtext1"/>
          <w:rFonts w:ascii="Arial" w:hAnsi="Arial" w:cs="Arial"/>
          <w:b/>
          <w:sz w:val="20"/>
          <w:shd w:val="clear" w:color="auto" w:fill="FFFFFF"/>
        </w:rPr>
        <w:t xml:space="preserve">Etude du rôle des ARN non codants dans les interactions hôtes-parasites chez les </w:t>
      </w:r>
      <w:proofErr w:type="spellStart"/>
      <w:r w:rsidRPr="002972FF">
        <w:rPr>
          <w:rStyle w:val="mediumtext1"/>
          <w:rFonts w:ascii="Arial" w:hAnsi="Arial" w:cs="Arial"/>
          <w:b/>
          <w:sz w:val="20"/>
          <w:shd w:val="clear" w:color="auto" w:fill="FFFFFF"/>
        </w:rPr>
        <w:t>microsporidies</w:t>
      </w:r>
      <w:proofErr w:type="spellEnd"/>
    </w:p>
    <w:p w:rsidR="00363C0D" w:rsidRDefault="00EE79D0" w:rsidP="00363C0D">
      <w:pPr>
        <w:tabs>
          <w:tab w:val="left" w:pos="280"/>
          <w:tab w:val="left" w:pos="580"/>
          <w:tab w:val="left" w:pos="1560"/>
        </w:tabs>
        <w:jc w:val="both"/>
        <w:rPr>
          <w:rFonts w:ascii="Arial" w:hAnsi="Arial" w:cs="Arial"/>
          <w:sz w:val="20"/>
        </w:rPr>
      </w:pPr>
      <w:r w:rsidRPr="002972FF">
        <w:rPr>
          <w:rFonts w:ascii="Arial" w:hAnsi="Arial" w:cs="Arial"/>
          <w:sz w:val="20"/>
        </w:rPr>
        <w:tab/>
      </w:r>
    </w:p>
    <w:p w:rsidR="00EE79D0" w:rsidRPr="002972FF" w:rsidRDefault="00EE79D0" w:rsidP="00363C0D">
      <w:pPr>
        <w:tabs>
          <w:tab w:val="left" w:pos="280"/>
          <w:tab w:val="left" w:pos="580"/>
          <w:tab w:val="left" w:pos="1560"/>
        </w:tabs>
        <w:jc w:val="both"/>
        <w:rPr>
          <w:rFonts w:ascii="Arial" w:hAnsi="Arial" w:cs="Arial"/>
          <w:sz w:val="20"/>
        </w:rPr>
      </w:pPr>
      <w:r w:rsidRPr="002972FF">
        <w:rPr>
          <w:rFonts w:ascii="Arial" w:hAnsi="Arial" w:cs="Arial"/>
          <w:sz w:val="20"/>
        </w:rPr>
        <w:t>Les ARN non codants (</w:t>
      </w:r>
      <w:proofErr w:type="spellStart"/>
      <w:r w:rsidRPr="002972FF">
        <w:rPr>
          <w:rFonts w:ascii="Arial" w:hAnsi="Arial" w:cs="Arial"/>
          <w:sz w:val="20"/>
        </w:rPr>
        <w:t>ARNnc</w:t>
      </w:r>
      <w:proofErr w:type="spellEnd"/>
      <w:r w:rsidRPr="002972FF">
        <w:rPr>
          <w:rFonts w:ascii="Arial" w:hAnsi="Arial" w:cs="Arial"/>
          <w:sz w:val="20"/>
        </w:rPr>
        <w:t xml:space="preserve">) sont reconnus comme des acteurs majeurs dans la régulation de divers processus cellulaires (Veneziano </w:t>
      </w:r>
      <w:r w:rsidRPr="002972FF">
        <w:rPr>
          <w:rFonts w:ascii="Arial" w:hAnsi="Arial" w:cs="Arial"/>
          <w:i/>
          <w:sz w:val="20"/>
        </w:rPr>
        <w:t>et al</w:t>
      </w:r>
      <w:r w:rsidRPr="002972FF">
        <w:rPr>
          <w:rFonts w:ascii="Arial" w:hAnsi="Arial" w:cs="Arial"/>
          <w:sz w:val="20"/>
        </w:rPr>
        <w:t xml:space="preserve">). Néanmoins, aucune donnée n’est disponible sur ces molécules et leurs rôles potentiels dans les interactions hôtes/pathogènes chez les </w:t>
      </w:r>
      <w:proofErr w:type="spellStart"/>
      <w:r w:rsidRPr="002972FF">
        <w:rPr>
          <w:rFonts w:ascii="Arial" w:hAnsi="Arial" w:cs="Arial"/>
          <w:sz w:val="20"/>
        </w:rPr>
        <w:t>microsporidies</w:t>
      </w:r>
      <w:proofErr w:type="spellEnd"/>
      <w:r w:rsidRPr="002972FF">
        <w:rPr>
          <w:rFonts w:ascii="Arial" w:hAnsi="Arial" w:cs="Arial"/>
          <w:sz w:val="20"/>
        </w:rPr>
        <w:t xml:space="preserve">, des parasites retrouvés dans l’ensemble du règne animal. En effet, seul un « </w:t>
      </w:r>
      <w:proofErr w:type="spellStart"/>
      <w:r w:rsidRPr="002972FF">
        <w:rPr>
          <w:rFonts w:ascii="Arial" w:hAnsi="Arial" w:cs="Arial"/>
          <w:sz w:val="20"/>
        </w:rPr>
        <w:t>core</w:t>
      </w:r>
      <w:proofErr w:type="spellEnd"/>
      <w:r w:rsidRPr="002972FF">
        <w:rPr>
          <w:rFonts w:ascii="Arial" w:hAnsi="Arial" w:cs="Arial"/>
          <w:sz w:val="20"/>
        </w:rPr>
        <w:t xml:space="preserve"> » minimaliste de 15 </w:t>
      </w:r>
      <w:proofErr w:type="spellStart"/>
      <w:r w:rsidRPr="002972FF">
        <w:rPr>
          <w:rFonts w:ascii="Arial" w:hAnsi="Arial" w:cs="Arial"/>
          <w:sz w:val="20"/>
        </w:rPr>
        <w:t>ARNnc</w:t>
      </w:r>
      <w:proofErr w:type="spellEnd"/>
      <w:r w:rsidRPr="002972FF">
        <w:rPr>
          <w:rFonts w:ascii="Arial" w:hAnsi="Arial" w:cs="Arial"/>
          <w:sz w:val="20"/>
        </w:rPr>
        <w:t xml:space="preserve">, jouant un rôle essentiellement dans le </w:t>
      </w:r>
      <w:proofErr w:type="spellStart"/>
      <w:r w:rsidRPr="002972FF">
        <w:rPr>
          <w:rFonts w:ascii="Arial" w:hAnsi="Arial" w:cs="Arial"/>
          <w:sz w:val="20"/>
        </w:rPr>
        <w:t>splicéosome</w:t>
      </w:r>
      <w:proofErr w:type="spellEnd"/>
      <w:r w:rsidRPr="002972FF">
        <w:rPr>
          <w:rFonts w:ascii="Arial" w:hAnsi="Arial" w:cs="Arial"/>
          <w:sz w:val="20"/>
        </w:rPr>
        <w:t xml:space="preserve"> (</w:t>
      </w:r>
      <w:proofErr w:type="spellStart"/>
      <w:r w:rsidRPr="002972FF">
        <w:rPr>
          <w:rFonts w:ascii="Arial" w:hAnsi="Arial" w:cs="Arial"/>
          <w:sz w:val="20"/>
        </w:rPr>
        <w:t>snARN</w:t>
      </w:r>
      <w:proofErr w:type="spellEnd"/>
      <w:r w:rsidRPr="002972FF">
        <w:rPr>
          <w:rFonts w:ascii="Arial" w:hAnsi="Arial" w:cs="Arial"/>
          <w:sz w:val="20"/>
        </w:rPr>
        <w:t>), et divers processus de maturation d’ARN (</w:t>
      </w:r>
      <w:proofErr w:type="spellStart"/>
      <w:r w:rsidRPr="002972FF">
        <w:rPr>
          <w:rFonts w:ascii="Arial" w:hAnsi="Arial" w:cs="Arial"/>
          <w:sz w:val="20"/>
        </w:rPr>
        <w:t>snoRNA</w:t>
      </w:r>
      <w:proofErr w:type="spellEnd"/>
      <w:r w:rsidRPr="002972FF">
        <w:rPr>
          <w:rFonts w:ascii="Arial" w:hAnsi="Arial" w:cs="Arial"/>
          <w:sz w:val="20"/>
        </w:rPr>
        <w:t>), a pu être caractérisé (</w:t>
      </w:r>
      <w:proofErr w:type="spellStart"/>
      <w:r w:rsidRPr="002972FF">
        <w:rPr>
          <w:rFonts w:ascii="Arial" w:hAnsi="Arial" w:cs="Arial"/>
          <w:sz w:val="20"/>
        </w:rPr>
        <w:t>Belkorchia</w:t>
      </w:r>
      <w:proofErr w:type="spellEnd"/>
      <w:r w:rsidRPr="002972FF">
        <w:rPr>
          <w:rFonts w:ascii="Arial" w:hAnsi="Arial" w:cs="Arial"/>
          <w:sz w:val="20"/>
        </w:rPr>
        <w:t xml:space="preserve"> </w:t>
      </w:r>
      <w:r w:rsidRPr="002972FF">
        <w:rPr>
          <w:rFonts w:ascii="Arial" w:hAnsi="Arial" w:cs="Arial"/>
          <w:i/>
          <w:sz w:val="20"/>
        </w:rPr>
        <w:t>et al</w:t>
      </w:r>
      <w:r w:rsidRPr="002972FF">
        <w:rPr>
          <w:rFonts w:ascii="Arial" w:hAnsi="Arial" w:cs="Arial"/>
          <w:sz w:val="20"/>
        </w:rPr>
        <w:t xml:space="preserve">). L’objectif de cette thèse sera donc d’assurer la caractérisation de l’ensemble du répertoire des ARN non codants pouvant être produit par ces parasites lors d’un processus d’infection. Pour cela, les données de séquençage massif des ARN totaux obtenues (financement projet émergence </w:t>
      </w:r>
      <w:r w:rsidRPr="002972FF">
        <w:rPr>
          <w:rFonts w:ascii="Arial" w:hAnsi="Arial" w:cs="Arial"/>
          <w:color w:val="000000"/>
          <w:sz w:val="20"/>
        </w:rPr>
        <w:t>I-SITE CAP20-25</w:t>
      </w:r>
      <w:r w:rsidRPr="002972FF">
        <w:rPr>
          <w:rFonts w:ascii="Arial" w:hAnsi="Arial" w:cs="Arial"/>
          <w:sz w:val="20"/>
        </w:rPr>
        <w:t>) seront exploitées à l’aide d’outils de prédictions de structures secondaires et/ou tertiaires. Par la suite, la distribution et le rôle de ces molécules dans le dialogue hôte/parasite seront appréhendés par l’étude de leur expression et de leur régulation au cours du processus d’infestation. La réponse des modulations d’expression des ARN non codants de l’hôte sera également évaluée afin de mettre en évidence les réponses spécifiques de l’hôte et comment s’exerce le contrôle de l’hôte par le parasite.</w:t>
      </w:r>
    </w:p>
    <w:p w:rsidR="00EE79D0" w:rsidRPr="002972FF" w:rsidRDefault="00EE79D0" w:rsidP="00363C0D">
      <w:pPr>
        <w:tabs>
          <w:tab w:val="left" w:pos="280"/>
          <w:tab w:val="left" w:pos="580"/>
          <w:tab w:val="left" w:pos="1560"/>
        </w:tabs>
        <w:jc w:val="both"/>
        <w:rPr>
          <w:rFonts w:ascii="Arial" w:hAnsi="Arial" w:cs="Arial"/>
          <w:sz w:val="20"/>
        </w:rPr>
      </w:pPr>
    </w:p>
    <w:p w:rsidR="00EE79D0" w:rsidRPr="002972FF" w:rsidRDefault="00EE79D0" w:rsidP="00363C0D">
      <w:pPr>
        <w:tabs>
          <w:tab w:val="left" w:pos="280"/>
          <w:tab w:val="left" w:pos="580"/>
          <w:tab w:val="left" w:pos="1560"/>
        </w:tabs>
        <w:jc w:val="both"/>
        <w:rPr>
          <w:rFonts w:ascii="Arial" w:hAnsi="Arial" w:cs="Arial"/>
          <w:i/>
          <w:sz w:val="20"/>
          <w:lang w:val="en-GB"/>
        </w:rPr>
      </w:pPr>
      <w:proofErr w:type="spellStart"/>
      <w:r w:rsidRPr="002972FF">
        <w:rPr>
          <w:rFonts w:ascii="Arial" w:hAnsi="Arial" w:cs="Arial"/>
          <w:sz w:val="20"/>
          <w:lang w:val="en-GB"/>
        </w:rPr>
        <w:t>Veneziano</w:t>
      </w:r>
      <w:proofErr w:type="spellEnd"/>
      <w:r w:rsidRPr="002972FF">
        <w:rPr>
          <w:rFonts w:ascii="Arial" w:hAnsi="Arial" w:cs="Arial"/>
          <w:sz w:val="20"/>
          <w:lang w:val="en-GB"/>
        </w:rPr>
        <w:t xml:space="preserve"> </w:t>
      </w:r>
      <w:r w:rsidRPr="002972FF">
        <w:rPr>
          <w:rFonts w:ascii="Arial" w:hAnsi="Arial" w:cs="Arial"/>
          <w:i/>
          <w:sz w:val="20"/>
          <w:lang w:val="en-GB"/>
        </w:rPr>
        <w:t>et al.</w:t>
      </w:r>
      <w:r w:rsidRPr="002972FF">
        <w:rPr>
          <w:rFonts w:ascii="Arial" w:hAnsi="Arial" w:cs="Arial"/>
          <w:lang w:val="en-GB"/>
        </w:rPr>
        <w:t xml:space="preserve"> </w:t>
      </w:r>
      <w:r w:rsidRPr="002972FF">
        <w:rPr>
          <w:rFonts w:ascii="Arial" w:hAnsi="Arial" w:cs="Arial"/>
          <w:sz w:val="20"/>
          <w:lang w:val="en-GB"/>
        </w:rPr>
        <w:t xml:space="preserve">Current Deep Sequencing Data Analysis Approaches and Challenges. Hum </w:t>
      </w:r>
      <w:proofErr w:type="spellStart"/>
      <w:r w:rsidRPr="002972FF">
        <w:rPr>
          <w:rFonts w:ascii="Arial" w:hAnsi="Arial" w:cs="Arial"/>
          <w:sz w:val="20"/>
          <w:lang w:val="en-GB"/>
        </w:rPr>
        <w:t>Mutat</w:t>
      </w:r>
      <w:proofErr w:type="spellEnd"/>
      <w:r w:rsidRPr="002972FF">
        <w:rPr>
          <w:rFonts w:ascii="Arial" w:hAnsi="Arial" w:cs="Arial"/>
          <w:sz w:val="20"/>
          <w:lang w:val="en-GB"/>
        </w:rPr>
        <w:t>. 2016 Dec;37(12):1283-1298.</w:t>
      </w:r>
    </w:p>
    <w:p w:rsidR="0049265D" w:rsidRDefault="00EE79D0" w:rsidP="00363C0D">
      <w:pPr>
        <w:rPr>
          <w:rFonts w:ascii="Arial" w:hAnsi="Arial" w:cs="Arial"/>
          <w:sz w:val="20"/>
        </w:rPr>
      </w:pPr>
      <w:proofErr w:type="spellStart"/>
      <w:r w:rsidRPr="002972FF">
        <w:rPr>
          <w:rFonts w:ascii="Arial" w:hAnsi="Arial" w:cs="Arial"/>
          <w:sz w:val="20"/>
          <w:lang w:val="en-GB"/>
        </w:rPr>
        <w:t>Belkorchia</w:t>
      </w:r>
      <w:proofErr w:type="spellEnd"/>
      <w:r w:rsidRPr="002972FF">
        <w:rPr>
          <w:rFonts w:ascii="Arial" w:hAnsi="Arial" w:cs="Arial"/>
          <w:sz w:val="20"/>
          <w:lang w:val="en-GB"/>
        </w:rPr>
        <w:t xml:space="preserve"> </w:t>
      </w:r>
      <w:r w:rsidRPr="002972FF">
        <w:rPr>
          <w:rFonts w:ascii="Arial" w:hAnsi="Arial" w:cs="Arial"/>
          <w:i/>
          <w:sz w:val="20"/>
          <w:lang w:val="en-GB"/>
        </w:rPr>
        <w:t>et al.</w:t>
      </w:r>
      <w:r w:rsidRPr="002972FF">
        <w:rPr>
          <w:rFonts w:ascii="Arial" w:hAnsi="Arial" w:cs="Arial"/>
          <w:sz w:val="20"/>
          <w:lang w:val="en-GB"/>
        </w:rPr>
        <w:t xml:space="preserve"> Comparative genomics of microsporidian genomes reveals a minimal non-coding RNA set and new insights for transcription in minimal eukaryotic genomes. </w:t>
      </w:r>
      <w:r w:rsidRPr="009120C4">
        <w:rPr>
          <w:rFonts w:ascii="Arial" w:hAnsi="Arial" w:cs="Arial"/>
          <w:sz w:val="20"/>
        </w:rPr>
        <w:t xml:space="preserve">DNA </w:t>
      </w:r>
      <w:proofErr w:type="spellStart"/>
      <w:r w:rsidRPr="009120C4">
        <w:rPr>
          <w:rFonts w:ascii="Arial" w:hAnsi="Arial" w:cs="Arial"/>
          <w:sz w:val="20"/>
        </w:rPr>
        <w:t>Res</w:t>
      </w:r>
      <w:proofErr w:type="spellEnd"/>
      <w:r w:rsidRPr="009120C4">
        <w:rPr>
          <w:rFonts w:ascii="Arial" w:hAnsi="Arial" w:cs="Arial"/>
          <w:sz w:val="20"/>
        </w:rPr>
        <w:t xml:space="preserve">. 2017 Jun </w:t>
      </w:r>
      <w:proofErr w:type="gramStart"/>
      <w:r w:rsidRPr="009120C4">
        <w:rPr>
          <w:rFonts w:ascii="Arial" w:hAnsi="Arial" w:cs="Arial"/>
          <w:sz w:val="20"/>
        </w:rPr>
        <w:t>1;</w:t>
      </w:r>
      <w:proofErr w:type="gramEnd"/>
      <w:r w:rsidRPr="009120C4">
        <w:rPr>
          <w:rFonts w:ascii="Arial" w:hAnsi="Arial" w:cs="Arial"/>
          <w:sz w:val="20"/>
        </w:rPr>
        <w:t>24(3):251-260</w:t>
      </w:r>
    </w:p>
    <w:p w:rsidR="0049265D" w:rsidRDefault="0049265D" w:rsidP="00363C0D">
      <w:pPr>
        <w:spacing w:after="200" w:line="276" w:lineRule="auto"/>
        <w:rPr>
          <w:rFonts w:ascii="Arial" w:hAnsi="Arial" w:cs="Arial"/>
          <w:sz w:val="20"/>
        </w:rPr>
      </w:pPr>
      <w:r>
        <w:rPr>
          <w:rFonts w:ascii="Arial" w:hAnsi="Arial" w:cs="Arial"/>
          <w:sz w:val="20"/>
        </w:rPr>
        <w:br w:type="page"/>
      </w:r>
    </w:p>
    <w:p w:rsidR="0049265D" w:rsidRPr="007E6B9B" w:rsidRDefault="0049265D" w:rsidP="00363C0D">
      <w:pPr>
        <w:pStyle w:val="Corpsdetexte"/>
        <w:tabs>
          <w:tab w:val="left" w:pos="1560"/>
        </w:tabs>
        <w:rPr>
          <w:rFonts w:ascii="Arial" w:hAnsi="Arial" w:cs="Arial"/>
          <w:sz w:val="20"/>
        </w:rPr>
      </w:pPr>
      <w:r w:rsidRPr="007E6B9B">
        <w:rPr>
          <w:rFonts w:ascii="Arial" w:hAnsi="Arial" w:cs="Arial"/>
          <w:i w:val="0"/>
          <w:sz w:val="20"/>
        </w:rPr>
        <w:lastRenderedPageBreak/>
        <w:t>Directeur</w:t>
      </w:r>
      <w:r>
        <w:rPr>
          <w:rFonts w:ascii="Arial" w:hAnsi="Arial" w:cs="Arial"/>
          <w:i w:val="0"/>
          <w:sz w:val="20"/>
        </w:rPr>
        <w:t>s</w:t>
      </w:r>
      <w:r w:rsidRPr="007E6B9B">
        <w:rPr>
          <w:rFonts w:ascii="Arial" w:hAnsi="Arial" w:cs="Arial"/>
          <w:i w:val="0"/>
          <w:sz w:val="20"/>
        </w:rPr>
        <w:t xml:space="preserve"> de thèse : </w:t>
      </w:r>
      <w:r w:rsidRPr="007E6B9B">
        <w:rPr>
          <w:rFonts w:ascii="Arial" w:hAnsi="Arial" w:cs="Arial"/>
          <w:i w:val="0"/>
          <w:sz w:val="20"/>
        </w:rPr>
        <w:tab/>
        <w:t xml:space="preserve">T </w:t>
      </w:r>
      <w:proofErr w:type="spellStart"/>
      <w:r w:rsidRPr="007E6B9B">
        <w:rPr>
          <w:rFonts w:ascii="Arial" w:hAnsi="Arial" w:cs="Arial"/>
          <w:i w:val="0"/>
          <w:sz w:val="20"/>
        </w:rPr>
        <w:t>Sime-Ngando</w:t>
      </w:r>
      <w:proofErr w:type="spellEnd"/>
      <w:r w:rsidRPr="007E6B9B">
        <w:rPr>
          <w:rFonts w:ascii="Arial" w:hAnsi="Arial" w:cs="Arial"/>
          <w:i w:val="0"/>
          <w:sz w:val="20"/>
        </w:rPr>
        <w:t xml:space="preserve"> (DR CNRS)</w:t>
      </w:r>
      <w:r w:rsidRPr="007E6B9B">
        <w:rPr>
          <w:rFonts w:ascii="Arial" w:hAnsi="Arial" w:cs="Arial"/>
          <w:i w:val="0"/>
          <w:sz w:val="20"/>
        </w:rPr>
        <w:tab/>
      </w:r>
      <w:r w:rsidRPr="007E6B9B">
        <w:rPr>
          <w:rFonts w:ascii="Arial" w:hAnsi="Arial" w:cs="Arial"/>
          <w:color w:val="0000FF"/>
          <w:sz w:val="20"/>
        </w:rPr>
        <w:t>telesphore.sime-ngando@uca.fr</w:t>
      </w:r>
    </w:p>
    <w:p w:rsidR="0049265D" w:rsidRPr="00415043" w:rsidRDefault="0049265D" w:rsidP="00363C0D">
      <w:pPr>
        <w:pStyle w:val="Corpsdetexte"/>
        <w:tabs>
          <w:tab w:val="left" w:pos="1560"/>
        </w:tabs>
        <w:rPr>
          <w:rFonts w:ascii="Arial" w:hAnsi="Arial" w:cs="Arial"/>
          <w:sz w:val="20"/>
          <w:lang w:val="en-US"/>
        </w:rPr>
      </w:pPr>
      <w:r w:rsidRPr="007E6B9B">
        <w:rPr>
          <w:rFonts w:ascii="Arial" w:hAnsi="Arial" w:cs="Arial"/>
          <w:i w:val="0"/>
          <w:sz w:val="20"/>
          <w:lang w:val="en-US"/>
        </w:rPr>
        <w:tab/>
      </w:r>
      <w:r w:rsidRPr="007E6B9B">
        <w:rPr>
          <w:rFonts w:ascii="Arial" w:hAnsi="Arial" w:cs="Arial"/>
          <w:i w:val="0"/>
          <w:sz w:val="20"/>
          <w:lang w:val="en-US"/>
        </w:rPr>
        <w:tab/>
        <w:t xml:space="preserve">F </w:t>
      </w:r>
      <w:proofErr w:type="spellStart"/>
      <w:r w:rsidRPr="007E6B9B">
        <w:rPr>
          <w:rFonts w:ascii="Arial" w:hAnsi="Arial" w:cs="Arial"/>
          <w:i w:val="0"/>
          <w:sz w:val="20"/>
          <w:lang w:val="en-US"/>
        </w:rPr>
        <w:t>Enault</w:t>
      </w:r>
      <w:proofErr w:type="spellEnd"/>
      <w:r w:rsidRPr="007E6B9B">
        <w:rPr>
          <w:rFonts w:ascii="Arial" w:hAnsi="Arial" w:cs="Arial"/>
          <w:i w:val="0"/>
          <w:sz w:val="20"/>
          <w:lang w:val="en-US"/>
        </w:rPr>
        <w:t xml:space="preserve"> (</w:t>
      </w:r>
      <w:proofErr w:type="gramStart"/>
      <w:r w:rsidRPr="007E6B9B">
        <w:rPr>
          <w:rFonts w:ascii="Arial" w:hAnsi="Arial" w:cs="Arial"/>
          <w:i w:val="0"/>
          <w:sz w:val="20"/>
          <w:lang w:val="en-US"/>
        </w:rPr>
        <w:t xml:space="preserve">MCF) </w:t>
      </w:r>
      <w:r w:rsidRPr="007E6B9B">
        <w:rPr>
          <w:rFonts w:ascii="Arial" w:eastAsia="Arial" w:hAnsi="Arial" w:cs="Arial"/>
          <w:color w:val="0000FF"/>
          <w:sz w:val="20"/>
          <w:lang w:val="en-US"/>
        </w:rPr>
        <w:t xml:space="preserve">  </w:t>
      </w:r>
      <w:proofErr w:type="gramEnd"/>
      <w:r w:rsidRPr="007E6B9B">
        <w:rPr>
          <w:rFonts w:ascii="Arial" w:eastAsia="Arial" w:hAnsi="Arial" w:cs="Arial"/>
          <w:color w:val="0000FF"/>
          <w:sz w:val="20"/>
          <w:lang w:val="en-US"/>
        </w:rPr>
        <w:t xml:space="preserve">  </w:t>
      </w:r>
      <w:r w:rsidRPr="007E6B9B">
        <w:rPr>
          <w:rFonts w:ascii="Arial" w:eastAsia="Arial" w:hAnsi="Arial" w:cs="Arial"/>
          <w:color w:val="0000FF"/>
          <w:sz w:val="20"/>
          <w:lang w:val="en-US"/>
        </w:rPr>
        <w:tab/>
      </w:r>
      <w:r w:rsidRPr="007E6B9B">
        <w:rPr>
          <w:rFonts w:ascii="Arial" w:eastAsia="Arial" w:hAnsi="Arial" w:cs="Arial"/>
          <w:color w:val="0000FF"/>
          <w:sz w:val="20"/>
          <w:lang w:val="en-US"/>
        </w:rPr>
        <w:tab/>
        <w:t>francois.enault</w:t>
      </w:r>
      <w:r w:rsidRPr="007E6B9B">
        <w:rPr>
          <w:rFonts w:ascii="Arial" w:hAnsi="Arial" w:cs="Arial"/>
          <w:color w:val="0000FF"/>
          <w:sz w:val="20"/>
          <w:lang w:val="en-US"/>
        </w:rPr>
        <w:t>@uca.fr</w:t>
      </w:r>
    </w:p>
    <w:p w:rsidR="0049265D" w:rsidRPr="007E6B9B" w:rsidRDefault="0049265D" w:rsidP="00363C0D">
      <w:pPr>
        <w:pStyle w:val="Corpsdetexte"/>
        <w:tabs>
          <w:tab w:val="left" w:pos="1560"/>
        </w:tabs>
        <w:rPr>
          <w:rFonts w:ascii="Arial" w:hAnsi="Arial" w:cs="Arial"/>
          <w:sz w:val="20"/>
          <w:lang w:val="en-US"/>
        </w:rPr>
      </w:pPr>
    </w:p>
    <w:p w:rsidR="0049265D" w:rsidRPr="007E6B9B" w:rsidRDefault="00363C0D" w:rsidP="00363C0D">
      <w:pPr>
        <w:jc w:val="center"/>
        <w:rPr>
          <w:rFonts w:ascii="Arial" w:hAnsi="Arial" w:cs="Arial"/>
          <w:b/>
          <w:sz w:val="20"/>
        </w:rPr>
      </w:pPr>
      <w:r>
        <w:rPr>
          <w:rFonts w:ascii="Arial" w:hAnsi="Arial" w:cs="Arial"/>
          <w:b/>
          <w:sz w:val="20"/>
        </w:rPr>
        <w:t>C</w:t>
      </w:r>
      <w:r w:rsidR="0049265D" w:rsidRPr="007E6B9B">
        <w:rPr>
          <w:rFonts w:ascii="Arial" w:hAnsi="Arial" w:cs="Arial"/>
          <w:b/>
          <w:sz w:val="20"/>
        </w:rPr>
        <w:t>lassification, diversité et répartition des virus de microbes dans la biosphère</w:t>
      </w:r>
    </w:p>
    <w:p w:rsidR="0049265D" w:rsidRPr="007E6B9B" w:rsidRDefault="0049265D" w:rsidP="00363C0D">
      <w:pPr>
        <w:jc w:val="both"/>
        <w:rPr>
          <w:rFonts w:ascii="Arial" w:hAnsi="Arial" w:cs="Arial"/>
          <w:sz w:val="20"/>
        </w:rPr>
      </w:pPr>
    </w:p>
    <w:p w:rsidR="0049265D" w:rsidRPr="007E6B9B" w:rsidRDefault="0049265D" w:rsidP="00363C0D">
      <w:pPr>
        <w:jc w:val="both"/>
        <w:rPr>
          <w:rFonts w:ascii="Arial" w:hAnsi="Arial" w:cs="Arial"/>
          <w:sz w:val="20"/>
        </w:rPr>
      </w:pPr>
      <w:r w:rsidRPr="007E6B9B">
        <w:rPr>
          <w:rFonts w:ascii="Arial" w:hAnsi="Arial" w:cs="Arial"/>
          <w:sz w:val="20"/>
        </w:rPr>
        <w:t>Les virus sont omniprésents dans la biosphère et infectent l'ensemble des êtres vivants. Au sein des écosystèmes, ils ont un impact sur la diversité des populations microbiennes, l'évolution des génomes de ces populations, et directement ou indirectement sur les cycles biogéochimiques majeurs. L'exploration des com</w:t>
      </w:r>
      <w:bookmarkStart w:id="0" w:name="_GoBack"/>
      <w:bookmarkEnd w:id="0"/>
      <w:r w:rsidRPr="007E6B9B">
        <w:rPr>
          <w:rFonts w:ascii="Arial" w:hAnsi="Arial" w:cs="Arial"/>
          <w:sz w:val="20"/>
        </w:rPr>
        <w:t xml:space="preserve">munautés virales reste toutefois une tâche complexe et nos connaissances sur la composition, la diversité et la dynamique de ces communautés sont encore très limitées. La </w:t>
      </w:r>
      <w:proofErr w:type="spellStart"/>
      <w:r w:rsidRPr="007E6B9B">
        <w:rPr>
          <w:rFonts w:ascii="Arial" w:hAnsi="Arial" w:cs="Arial"/>
          <w:sz w:val="20"/>
        </w:rPr>
        <w:t>métagénomique</w:t>
      </w:r>
      <w:proofErr w:type="spellEnd"/>
      <w:r w:rsidRPr="007E6B9B">
        <w:rPr>
          <w:rFonts w:ascii="Arial" w:hAnsi="Arial" w:cs="Arial"/>
          <w:sz w:val="20"/>
        </w:rPr>
        <w:t xml:space="preserve">, appliquée à la fraction virale, permet d'étudier le contenu génétique des virus présents dans un écosystème et a notamment mis en évidence la grande richesse des populations virales environnementales, tant du point de vue des gènes que des génotypes. Toutefois, notre compréhension du monde viral est encore très fragmentaire et la démocratisation récente de la </w:t>
      </w:r>
      <w:proofErr w:type="spellStart"/>
      <w:r w:rsidRPr="007E6B9B">
        <w:rPr>
          <w:rFonts w:ascii="Arial" w:hAnsi="Arial" w:cs="Arial"/>
          <w:sz w:val="20"/>
        </w:rPr>
        <w:t>métagénomique</w:t>
      </w:r>
      <w:proofErr w:type="spellEnd"/>
      <w:r w:rsidRPr="007E6B9B">
        <w:rPr>
          <w:rFonts w:ascii="Arial" w:hAnsi="Arial" w:cs="Arial"/>
          <w:sz w:val="20"/>
        </w:rPr>
        <w:t xml:space="preserve"> virale offre de nouvelles possibilités.</w:t>
      </w:r>
    </w:p>
    <w:p w:rsidR="0049265D" w:rsidRDefault="0049265D" w:rsidP="00363C0D">
      <w:pPr>
        <w:jc w:val="both"/>
        <w:rPr>
          <w:rFonts w:ascii="Arial" w:hAnsi="Arial" w:cs="Arial"/>
          <w:sz w:val="20"/>
        </w:rPr>
      </w:pPr>
      <w:r w:rsidRPr="007E6B9B">
        <w:rPr>
          <w:rFonts w:ascii="Arial" w:hAnsi="Arial" w:cs="Arial"/>
          <w:sz w:val="20"/>
        </w:rPr>
        <w:t xml:space="preserve">L'objectif de cette thèse sera dans un premier temps de mieux caractériser le contenu en gènes des virus de microbes à partir des nombreux </w:t>
      </w:r>
      <w:proofErr w:type="spellStart"/>
      <w:r w:rsidRPr="007E6B9B">
        <w:rPr>
          <w:rFonts w:ascii="Arial" w:hAnsi="Arial" w:cs="Arial"/>
          <w:sz w:val="20"/>
        </w:rPr>
        <w:t>métagénomes</w:t>
      </w:r>
      <w:proofErr w:type="spellEnd"/>
      <w:r w:rsidRPr="007E6B9B">
        <w:rPr>
          <w:rFonts w:ascii="Arial" w:hAnsi="Arial" w:cs="Arial"/>
          <w:sz w:val="20"/>
        </w:rPr>
        <w:t xml:space="preserve"> publics et de proposer une classification de ceux-ci à partir de leur génome. Ce travail fournira un cadre pour analyser la diversité et la répartition de ces entités dans la biosphère et étudier l’évolution de familles virales d’intérêt. Une attention spéciale sera portée aux écosystèmes lacustres particulièrement étudiés au laboratoire et pour lesquels des données obtenues au sein de notre équipe permettront des analyses plus spécifiques. Dans le cadre de ces travaux, le candidat sera amené à développer des méthodologies bio-informatiques adaptées au traitement de ces données particulières et à les rendre disponibles à l'ensemble de la communauté scientifique.</w:t>
      </w:r>
    </w:p>
    <w:p w:rsidR="0049265D" w:rsidRDefault="0049265D" w:rsidP="00363C0D">
      <w:pPr>
        <w:jc w:val="both"/>
        <w:rPr>
          <w:rFonts w:ascii="Arial" w:hAnsi="Arial" w:cs="Arial"/>
          <w:sz w:val="20"/>
        </w:rPr>
      </w:pPr>
    </w:p>
    <w:p w:rsidR="0049265D" w:rsidRDefault="0049265D" w:rsidP="00363C0D">
      <w:pPr>
        <w:jc w:val="both"/>
        <w:rPr>
          <w:rFonts w:ascii="Arial" w:hAnsi="Arial" w:cs="Arial"/>
          <w:sz w:val="20"/>
        </w:rPr>
      </w:pPr>
      <w:r w:rsidRPr="007E6B9B">
        <w:rPr>
          <w:rFonts w:ascii="Arial" w:hAnsi="Arial" w:cs="Arial"/>
          <w:color w:val="000000"/>
          <w:sz w:val="20"/>
          <w:lang w:val="en-US"/>
        </w:rPr>
        <w:t xml:space="preserve">Roux S, </w:t>
      </w:r>
      <w:proofErr w:type="spellStart"/>
      <w:r w:rsidRPr="007E6B9B">
        <w:rPr>
          <w:rFonts w:ascii="Arial" w:hAnsi="Arial" w:cs="Arial"/>
          <w:color w:val="000000"/>
          <w:sz w:val="20"/>
          <w:lang w:val="en-US"/>
        </w:rPr>
        <w:t>Enault</w:t>
      </w:r>
      <w:proofErr w:type="spellEnd"/>
      <w:r w:rsidRPr="007E6B9B">
        <w:rPr>
          <w:rFonts w:ascii="Arial" w:hAnsi="Arial" w:cs="Arial"/>
          <w:color w:val="000000"/>
          <w:sz w:val="20"/>
          <w:lang w:val="en-US"/>
        </w:rPr>
        <w:t xml:space="preserve"> F, </w:t>
      </w:r>
      <w:proofErr w:type="spellStart"/>
      <w:r w:rsidRPr="007E6B9B">
        <w:rPr>
          <w:rFonts w:ascii="Arial" w:hAnsi="Arial" w:cs="Arial"/>
          <w:color w:val="000000"/>
          <w:sz w:val="20"/>
          <w:lang w:val="en-US"/>
        </w:rPr>
        <w:t>Ravet</w:t>
      </w:r>
      <w:proofErr w:type="spellEnd"/>
      <w:r w:rsidRPr="007E6B9B">
        <w:rPr>
          <w:rFonts w:ascii="Arial" w:hAnsi="Arial" w:cs="Arial"/>
          <w:color w:val="000000"/>
          <w:sz w:val="20"/>
          <w:lang w:val="en-US"/>
        </w:rPr>
        <w:t xml:space="preserve"> V, </w:t>
      </w:r>
      <w:proofErr w:type="spellStart"/>
      <w:r w:rsidRPr="007E6B9B">
        <w:rPr>
          <w:rFonts w:ascii="Arial" w:hAnsi="Arial" w:cs="Arial"/>
          <w:color w:val="000000"/>
          <w:sz w:val="20"/>
          <w:lang w:val="en-US"/>
        </w:rPr>
        <w:t>Colombet</w:t>
      </w:r>
      <w:proofErr w:type="spellEnd"/>
      <w:r w:rsidRPr="007E6B9B">
        <w:rPr>
          <w:rFonts w:ascii="Arial" w:hAnsi="Arial" w:cs="Arial"/>
          <w:color w:val="000000"/>
          <w:sz w:val="20"/>
          <w:lang w:val="en-US"/>
        </w:rPr>
        <w:t xml:space="preserve"> J, </w:t>
      </w:r>
      <w:proofErr w:type="spellStart"/>
      <w:r w:rsidRPr="007E6B9B">
        <w:rPr>
          <w:rFonts w:ascii="Arial" w:hAnsi="Arial" w:cs="Arial"/>
          <w:color w:val="000000"/>
          <w:sz w:val="20"/>
          <w:lang w:val="en-US"/>
        </w:rPr>
        <w:t>Bettarel</w:t>
      </w:r>
      <w:proofErr w:type="spellEnd"/>
      <w:r w:rsidRPr="007E6B9B">
        <w:rPr>
          <w:rFonts w:ascii="Arial" w:hAnsi="Arial" w:cs="Arial"/>
          <w:color w:val="000000"/>
          <w:sz w:val="20"/>
          <w:lang w:val="en-US"/>
        </w:rPr>
        <w:t xml:space="preserve"> Y, </w:t>
      </w:r>
      <w:proofErr w:type="spellStart"/>
      <w:r w:rsidRPr="007E6B9B">
        <w:rPr>
          <w:rFonts w:ascii="Arial" w:hAnsi="Arial" w:cs="Arial"/>
          <w:color w:val="000000"/>
          <w:sz w:val="20"/>
          <w:lang w:val="en-US"/>
        </w:rPr>
        <w:t>Auguet</w:t>
      </w:r>
      <w:proofErr w:type="spellEnd"/>
      <w:r w:rsidRPr="007E6B9B">
        <w:rPr>
          <w:rFonts w:ascii="Arial" w:hAnsi="Arial" w:cs="Arial"/>
          <w:color w:val="000000"/>
          <w:sz w:val="20"/>
          <w:lang w:val="en-US"/>
        </w:rPr>
        <w:t xml:space="preserve"> JC, </w:t>
      </w:r>
      <w:proofErr w:type="spellStart"/>
      <w:r w:rsidRPr="007E6B9B">
        <w:rPr>
          <w:rFonts w:ascii="Arial" w:hAnsi="Arial" w:cs="Arial"/>
          <w:color w:val="000000"/>
          <w:sz w:val="20"/>
          <w:lang w:val="en-US"/>
        </w:rPr>
        <w:t>Bouvier</w:t>
      </w:r>
      <w:proofErr w:type="spellEnd"/>
      <w:r w:rsidRPr="007E6B9B">
        <w:rPr>
          <w:rFonts w:ascii="Arial" w:hAnsi="Arial" w:cs="Arial"/>
          <w:color w:val="000000"/>
          <w:sz w:val="20"/>
          <w:lang w:val="en-US"/>
        </w:rPr>
        <w:t xml:space="preserve"> T, Lucas-</w:t>
      </w:r>
      <w:proofErr w:type="spellStart"/>
      <w:r w:rsidRPr="007E6B9B">
        <w:rPr>
          <w:rFonts w:ascii="Arial" w:hAnsi="Arial" w:cs="Arial"/>
          <w:color w:val="000000"/>
          <w:sz w:val="20"/>
          <w:lang w:val="en-US"/>
        </w:rPr>
        <w:t>Staat</w:t>
      </w:r>
      <w:proofErr w:type="spellEnd"/>
      <w:r w:rsidRPr="007E6B9B">
        <w:rPr>
          <w:rFonts w:ascii="Arial" w:hAnsi="Arial" w:cs="Arial"/>
          <w:color w:val="000000"/>
          <w:sz w:val="20"/>
          <w:lang w:val="en-US"/>
        </w:rPr>
        <w:t xml:space="preserve"> S, </w:t>
      </w:r>
      <w:proofErr w:type="spellStart"/>
      <w:r w:rsidRPr="007E6B9B">
        <w:rPr>
          <w:rFonts w:ascii="Arial" w:hAnsi="Arial" w:cs="Arial"/>
          <w:color w:val="000000"/>
          <w:sz w:val="20"/>
          <w:lang w:val="en-US"/>
        </w:rPr>
        <w:t>Vellet</w:t>
      </w:r>
      <w:proofErr w:type="spellEnd"/>
      <w:r w:rsidRPr="007E6B9B">
        <w:rPr>
          <w:rFonts w:ascii="Arial" w:hAnsi="Arial" w:cs="Arial"/>
          <w:color w:val="000000"/>
          <w:sz w:val="20"/>
          <w:lang w:val="en-US"/>
        </w:rPr>
        <w:t xml:space="preserve"> A, </w:t>
      </w:r>
      <w:proofErr w:type="spellStart"/>
      <w:r w:rsidRPr="007E6B9B">
        <w:rPr>
          <w:rFonts w:ascii="Arial" w:hAnsi="Arial" w:cs="Arial"/>
          <w:color w:val="000000"/>
          <w:sz w:val="20"/>
          <w:lang w:val="en-US"/>
        </w:rPr>
        <w:t>Prangishvili</w:t>
      </w:r>
      <w:proofErr w:type="spellEnd"/>
      <w:r w:rsidRPr="007E6B9B">
        <w:rPr>
          <w:rFonts w:ascii="Arial" w:hAnsi="Arial" w:cs="Arial"/>
          <w:color w:val="000000"/>
          <w:sz w:val="20"/>
          <w:lang w:val="en-US"/>
        </w:rPr>
        <w:t xml:space="preserve"> D, </w:t>
      </w:r>
      <w:proofErr w:type="spellStart"/>
      <w:r w:rsidRPr="007E6B9B">
        <w:rPr>
          <w:rFonts w:ascii="Arial" w:hAnsi="Arial" w:cs="Arial"/>
          <w:color w:val="000000"/>
          <w:sz w:val="20"/>
          <w:lang w:val="en-US"/>
        </w:rPr>
        <w:t>Forterre</w:t>
      </w:r>
      <w:proofErr w:type="spellEnd"/>
      <w:r w:rsidRPr="007E6B9B">
        <w:rPr>
          <w:rFonts w:ascii="Arial" w:hAnsi="Arial" w:cs="Arial"/>
          <w:color w:val="000000"/>
          <w:sz w:val="20"/>
          <w:lang w:val="en-US"/>
        </w:rPr>
        <w:t xml:space="preserve"> P, </w:t>
      </w:r>
      <w:proofErr w:type="spellStart"/>
      <w:r w:rsidRPr="007E6B9B">
        <w:rPr>
          <w:rFonts w:ascii="Arial" w:hAnsi="Arial" w:cs="Arial"/>
          <w:color w:val="000000"/>
          <w:sz w:val="20"/>
          <w:lang w:val="en-US"/>
        </w:rPr>
        <w:t>Debroas</w:t>
      </w:r>
      <w:proofErr w:type="spellEnd"/>
      <w:r w:rsidRPr="007E6B9B">
        <w:rPr>
          <w:rFonts w:ascii="Arial" w:hAnsi="Arial" w:cs="Arial"/>
          <w:color w:val="000000"/>
          <w:sz w:val="20"/>
          <w:lang w:val="en-US"/>
        </w:rPr>
        <w:t xml:space="preserve"> D, Sime-</w:t>
      </w:r>
      <w:proofErr w:type="spellStart"/>
      <w:r w:rsidRPr="007E6B9B">
        <w:rPr>
          <w:rFonts w:ascii="Arial" w:hAnsi="Arial" w:cs="Arial"/>
          <w:color w:val="000000"/>
          <w:sz w:val="20"/>
          <w:lang w:val="en-US"/>
        </w:rPr>
        <w:t>Ngando</w:t>
      </w:r>
      <w:proofErr w:type="spellEnd"/>
      <w:r w:rsidRPr="007E6B9B">
        <w:rPr>
          <w:rFonts w:ascii="Arial" w:hAnsi="Arial" w:cs="Arial"/>
          <w:color w:val="000000"/>
          <w:sz w:val="20"/>
          <w:lang w:val="en-US"/>
        </w:rPr>
        <w:t xml:space="preserve"> T. (2016) Analysis of </w:t>
      </w:r>
      <w:proofErr w:type="spellStart"/>
      <w:r w:rsidRPr="007E6B9B">
        <w:rPr>
          <w:rFonts w:ascii="Arial" w:hAnsi="Arial" w:cs="Arial"/>
          <w:color w:val="000000"/>
          <w:sz w:val="20"/>
          <w:lang w:val="en-US"/>
        </w:rPr>
        <w:t>Metagenomic</w:t>
      </w:r>
      <w:proofErr w:type="spellEnd"/>
      <w:r w:rsidRPr="007E6B9B">
        <w:rPr>
          <w:rFonts w:ascii="Arial" w:hAnsi="Arial" w:cs="Arial"/>
          <w:color w:val="000000"/>
          <w:sz w:val="20"/>
          <w:lang w:val="en-US"/>
        </w:rPr>
        <w:t xml:space="preserve"> Data Reveals Common Features of Halophilic Viral Communities Across Continents. </w:t>
      </w:r>
      <w:r w:rsidRPr="007E6B9B">
        <w:rPr>
          <w:rFonts w:ascii="Arial" w:hAnsi="Arial" w:cs="Arial"/>
          <w:color w:val="000000"/>
          <w:sz w:val="20"/>
        </w:rPr>
        <w:t xml:space="preserve">Environ </w:t>
      </w:r>
      <w:proofErr w:type="spellStart"/>
      <w:r w:rsidRPr="007E6B9B">
        <w:rPr>
          <w:rFonts w:ascii="Arial" w:hAnsi="Arial" w:cs="Arial"/>
          <w:color w:val="000000"/>
          <w:sz w:val="20"/>
        </w:rPr>
        <w:t>Microbiol</w:t>
      </w:r>
      <w:proofErr w:type="spellEnd"/>
      <w:r w:rsidRPr="007E6B9B">
        <w:rPr>
          <w:rFonts w:ascii="Arial" w:hAnsi="Arial" w:cs="Arial"/>
          <w:color w:val="000000"/>
          <w:sz w:val="20"/>
        </w:rPr>
        <w:t>. 18(3</w:t>
      </w:r>
      <w:proofErr w:type="gramStart"/>
      <w:r w:rsidRPr="007E6B9B">
        <w:rPr>
          <w:rFonts w:ascii="Arial" w:hAnsi="Arial" w:cs="Arial"/>
          <w:color w:val="000000"/>
          <w:sz w:val="20"/>
        </w:rPr>
        <w:t>):</w:t>
      </w:r>
      <w:proofErr w:type="gramEnd"/>
      <w:r w:rsidRPr="007E6B9B">
        <w:rPr>
          <w:rFonts w:ascii="Arial" w:hAnsi="Arial" w:cs="Arial"/>
          <w:color w:val="000000"/>
          <w:sz w:val="20"/>
        </w:rPr>
        <w:t xml:space="preserve">889-903. </w:t>
      </w:r>
      <w:proofErr w:type="spellStart"/>
      <w:proofErr w:type="gramStart"/>
      <w:r w:rsidRPr="007E6B9B">
        <w:rPr>
          <w:rFonts w:ascii="Arial" w:hAnsi="Arial" w:cs="Arial"/>
          <w:color w:val="000000"/>
          <w:sz w:val="20"/>
        </w:rPr>
        <w:t>Doi</w:t>
      </w:r>
      <w:proofErr w:type="spellEnd"/>
      <w:r w:rsidRPr="007E6B9B">
        <w:rPr>
          <w:rFonts w:ascii="Arial" w:hAnsi="Arial" w:cs="Arial"/>
          <w:color w:val="000000"/>
          <w:sz w:val="20"/>
        </w:rPr>
        <w:t>:</w:t>
      </w:r>
      <w:proofErr w:type="gramEnd"/>
      <w:r w:rsidRPr="007E6B9B">
        <w:rPr>
          <w:rFonts w:ascii="Arial" w:hAnsi="Arial" w:cs="Arial"/>
          <w:color w:val="000000"/>
          <w:sz w:val="20"/>
        </w:rPr>
        <w:t xml:space="preserve"> 10.1111/1462-2920.13084. (</w:t>
      </w:r>
      <w:proofErr w:type="gramStart"/>
      <w:r w:rsidRPr="007E6B9B">
        <w:rPr>
          <w:rFonts w:ascii="Arial" w:hAnsi="Arial" w:cs="Arial"/>
          <w:color w:val="000000"/>
          <w:sz w:val="20"/>
        </w:rPr>
        <w:t>IF:</w:t>
      </w:r>
      <w:proofErr w:type="gramEnd"/>
      <w:r w:rsidRPr="007E6B9B">
        <w:rPr>
          <w:rFonts w:ascii="Arial" w:hAnsi="Arial" w:cs="Arial"/>
          <w:color w:val="000000"/>
          <w:sz w:val="20"/>
        </w:rPr>
        <w:t xml:space="preserve"> 4.9)</w:t>
      </w:r>
    </w:p>
    <w:p w:rsidR="0049265D" w:rsidRPr="007E6B9B" w:rsidRDefault="0049265D" w:rsidP="00363C0D">
      <w:pPr>
        <w:jc w:val="both"/>
        <w:rPr>
          <w:rFonts w:ascii="Arial" w:hAnsi="Arial" w:cs="Arial"/>
          <w:b/>
          <w:sz w:val="20"/>
        </w:rPr>
      </w:pPr>
      <w:r w:rsidRPr="007E6B9B">
        <w:rPr>
          <w:rFonts w:ascii="Arial" w:hAnsi="Arial" w:cs="Arial"/>
          <w:color w:val="000000"/>
          <w:sz w:val="20"/>
        </w:rPr>
        <w:t xml:space="preserve">Roux S, </w:t>
      </w:r>
      <w:proofErr w:type="spellStart"/>
      <w:r w:rsidRPr="007E6B9B">
        <w:rPr>
          <w:rFonts w:ascii="Arial" w:hAnsi="Arial" w:cs="Arial"/>
          <w:color w:val="000000"/>
          <w:sz w:val="20"/>
        </w:rPr>
        <w:t>Adriaenssens</w:t>
      </w:r>
      <w:proofErr w:type="spellEnd"/>
      <w:r w:rsidRPr="007E6B9B">
        <w:rPr>
          <w:rFonts w:ascii="Arial" w:hAnsi="Arial" w:cs="Arial"/>
          <w:color w:val="000000"/>
          <w:sz w:val="20"/>
        </w:rPr>
        <w:t xml:space="preserve"> EM, </w:t>
      </w:r>
      <w:proofErr w:type="spellStart"/>
      <w:r w:rsidRPr="007E6B9B">
        <w:rPr>
          <w:rFonts w:ascii="Arial" w:hAnsi="Arial" w:cs="Arial"/>
          <w:color w:val="000000"/>
          <w:sz w:val="20"/>
        </w:rPr>
        <w:t>Dutilh</w:t>
      </w:r>
      <w:proofErr w:type="spellEnd"/>
      <w:r w:rsidRPr="007E6B9B">
        <w:rPr>
          <w:rFonts w:ascii="Arial" w:hAnsi="Arial" w:cs="Arial"/>
          <w:color w:val="000000"/>
          <w:sz w:val="20"/>
        </w:rPr>
        <w:t xml:space="preserve"> BE, </w:t>
      </w:r>
      <w:proofErr w:type="spellStart"/>
      <w:r w:rsidRPr="007E6B9B">
        <w:rPr>
          <w:rFonts w:ascii="Arial" w:hAnsi="Arial" w:cs="Arial"/>
          <w:color w:val="000000"/>
          <w:sz w:val="20"/>
        </w:rPr>
        <w:t>Koonin</w:t>
      </w:r>
      <w:proofErr w:type="spellEnd"/>
      <w:r w:rsidRPr="007E6B9B">
        <w:rPr>
          <w:rFonts w:ascii="Arial" w:hAnsi="Arial" w:cs="Arial"/>
          <w:color w:val="000000"/>
          <w:sz w:val="20"/>
        </w:rPr>
        <w:t xml:space="preserve"> EV, </w:t>
      </w:r>
      <w:proofErr w:type="spellStart"/>
      <w:r w:rsidRPr="007E6B9B">
        <w:rPr>
          <w:rFonts w:ascii="Arial" w:hAnsi="Arial" w:cs="Arial"/>
          <w:color w:val="000000"/>
          <w:sz w:val="20"/>
        </w:rPr>
        <w:t>Kropinski</w:t>
      </w:r>
      <w:proofErr w:type="spellEnd"/>
      <w:r w:rsidRPr="007E6B9B">
        <w:rPr>
          <w:rFonts w:ascii="Arial" w:hAnsi="Arial" w:cs="Arial"/>
          <w:color w:val="000000"/>
          <w:sz w:val="20"/>
        </w:rPr>
        <w:t xml:space="preserve"> AM, </w:t>
      </w:r>
      <w:proofErr w:type="spellStart"/>
      <w:r w:rsidRPr="007E6B9B">
        <w:rPr>
          <w:rFonts w:ascii="Arial" w:hAnsi="Arial" w:cs="Arial"/>
          <w:color w:val="000000"/>
          <w:sz w:val="20"/>
        </w:rPr>
        <w:t>Krupovic</w:t>
      </w:r>
      <w:proofErr w:type="spellEnd"/>
      <w:r w:rsidRPr="007E6B9B">
        <w:rPr>
          <w:rFonts w:ascii="Arial" w:hAnsi="Arial" w:cs="Arial"/>
          <w:color w:val="000000"/>
          <w:sz w:val="20"/>
        </w:rPr>
        <w:t xml:space="preserve"> M, Kuhn JH, Lavigne R, </w:t>
      </w:r>
      <w:proofErr w:type="spellStart"/>
      <w:r w:rsidRPr="007E6B9B">
        <w:rPr>
          <w:rFonts w:ascii="Arial" w:hAnsi="Arial" w:cs="Arial"/>
          <w:color w:val="000000"/>
          <w:sz w:val="20"/>
        </w:rPr>
        <w:t>Brister</w:t>
      </w:r>
      <w:proofErr w:type="spellEnd"/>
      <w:r w:rsidRPr="007E6B9B">
        <w:rPr>
          <w:rFonts w:ascii="Arial" w:hAnsi="Arial" w:cs="Arial"/>
          <w:color w:val="000000"/>
          <w:sz w:val="20"/>
        </w:rPr>
        <w:t xml:space="preserve"> JR, </w:t>
      </w:r>
      <w:proofErr w:type="spellStart"/>
      <w:r w:rsidRPr="007E6B9B">
        <w:rPr>
          <w:rFonts w:ascii="Arial" w:hAnsi="Arial" w:cs="Arial"/>
          <w:color w:val="000000"/>
          <w:sz w:val="20"/>
        </w:rPr>
        <w:t>Varsani</w:t>
      </w:r>
      <w:proofErr w:type="spellEnd"/>
      <w:r w:rsidRPr="007E6B9B">
        <w:rPr>
          <w:rFonts w:ascii="Arial" w:hAnsi="Arial" w:cs="Arial"/>
          <w:color w:val="000000"/>
          <w:sz w:val="20"/>
        </w:rPr>
        <w:t xml:space="preserve"> A, </w:t>
      </w:r>
      <w:proofErr w:type="spellStart"/>
      <w:r w:rsidRPr="007E6B9B">
        <w:rPr>
          <w:rFonts w:ascii="Arial" w:hAnsi="Arial" w:cs="Arial"/>
          <w:color w:val="000000"/>
          <w:sz w:val="20"/>
        </w:rPr>
        <w:t>Amid</w:t>
      </w:r>
      <w:proofErr w:type="spellEnd"/>
      <w:r w:rsidRPr="007E6B9B">
        <w:rPr>
          <w:rFonts w:ascii="Arial" w:hAnsi="Arial" w:cs="Arial"/>
          <w:color w:val="000000"/>
          <w:sz w:val="20"/>
        </w:rPr>
        <w:t xml:space="preserve"> C, Aziz RK, </w:t>
      </w:r>
      <w:proofErr w:type="spellStart"/>
      <w:r w:rsidRPr="007E6B9B">
        <w:rPr>
          <w:rFonts w:ascii="Arial" w:hAnsi="Arial" w:cs="Arial"/>
          <w:color w:val="000000"/>
          <w:sz w:val="20"/>
        </w:rPr>
        <w:t>Bordenstein</w:t>
      </w:r>
      <w:proofErr w:type="spellEnd"/>
      <w:r w:rsidRPr="007E6B9B">
        <w:rPr>
          <w:rFonts w:ascii="Arial" w:hAnsi="Arial" w:cs="Arial"/>
          <w:color w:val="000000"/>
          <w:sz w:val="20"/>
        </w:rPr>
        <w:t xml:space="preserve"> SR, </w:t>
      </w:r>
      <w:proofErr w:type="spellStart"/>
      <w:r w:rsidRPr="007E6B9B">
        <w:rPr>
          <w:rFonts w:ascii="Arial" w:hAnsi="Arial" w:cs="Arial"/>
          <w:color w:val="000000"/>
          <w:sz w:val="20"/>
        </w:rPr>
        <w:t>Bork</w:t>
      </w:r>
      <w:proofErr w:type="spellEnd"/>
      <w:r w:rsidRPr="007E6B9B">
        <w:rPr>
          <w:rFonts w:ascii="Arial" w:hAnsi="Arial" w:cs="Arial"/>
          <w:color w:val="000000"/>
          <w:sz w:val="20"/>
        </w:rPr>
        <w:t xml:space="preserve"> P, </w:t>
      </w:r>
      <w:proofErr w:type="spellStart"/>
      <w:r w:rsidRPr="007E6B9B">
        <w:rPr>
          <w:rFonts w:ascii="Arial" w:hAnsi="Arial" w:cs="Arial"/>
          <w:color w:val="000000"/>
          <w:sz w:val="20"/>
        </w:rPr>
        <w:t>Breitbart</w:t>
      </w:r>
      <w:proofErr w:type="spellEnd"/>
      <w:r w:rsidRPr="007E6B9B">
        <w:rPr>
          <w:rFonts w:ascii="Arial" w:hAnsi="Arial" w:cs="Arial"/>
          <w:color w:val="000000"/>
          <w:sz w:val="20"/>
        </w:rPr>
        <w:t xml:space="preserve"> M, Cochrane GR, Daly RA, </w:t>
      </w:r>
      <w:proofErr w:type="spellStart"/>
      <w:r w:rsidRPr="007E6B9B">
        <w:rPr>
          <w:rFonts w:ascii="Arial" w:hAnsi="Arial" w:cs="Arial"/>
          <w:color w:val="000000"/>
          <w:sz w:val="20"/>
        </w:rPr>
        <w:t>Desnues</w:t>
      </w:r>
      <w:proofErr w:type="spellEnd"/>
      <w:r w:rsidRPr="007E6B9B">
        <w:rPr>
          <w:rFonts w:ascii="Arial" w:hAnsi="Arial" w:cs="Arial"/>
          <w:color w:val="000000"/>
          <w:sz w:val="20"/>
        </w:rPr>
        <w:t xml:space="preserve"> C, </w:t>
      </w:r>
      <w:proofErr w:type="spellStart"/>
      <w:r w:rsidRPr="007E6B9B">
        <w:rPr>
          <w:rFonts w:ascii="Arial" w:hAnsi="Arial" w:cs="Arial"/>
          <w:color w:val="000000"/>
          <w:sz w:val="20"/>
        </w:rPr>
        <w:t>Duhaime</w:t>
      </w:r>
      <w:proofErr w:type="spellEnd"/>
      <w:r w:rsidRPr="007E6B9B">
        <w:rPr>
          <w:rFonts w:ascii="Arial" w:hAnsi="Arial" w:cs="Arial"/>
          <w:color w:val="000000"/>
          <w:sz w:val="20"/>
        </w:rPr>
        <w:t xml:space="preserve"> MB, Emerson JB, </w:t>
      </w:r>
      <w:proofErr w:type="spellStart"/>
      <w:r w:rsidRPr="007E6B9B">
        <w:rPr>
          <w:rFonts w:ascii="Arial" w:hAnsi="Arial" w:cs="Arial"/>
          <w:color w:val="000000"/>
          <w:sz w:val="20"/>
        </w:rPr>
        <w:t>Enault</w:t>
      </w:r>
      <w:proofErr w:type="spellEnd"/>
      <w:r w:rsidRPr="007E6B9B">
        <w:rPr>
          <w:rFonts w:ascii="Arial" w:hAnsi="Arial" w:cs="Arial"/>
          <w:color w:val="000000"/>
          <w:sz w:val="20"/>
        </w:rPr>
        <w:t xml:space="preserve"> F </w:t>
      </w:r>
      <w:r w:rsidRPr="007E6B9B">
        <w:rPr>
          <w:rFonts w:ascii="Arial" w:hAnsi="Arial" w:cs="Arial"/>
          <w:i/>
          <w:color w:val="000000"/>
          <w:sz w:val="20"/>
        </w:rPr>
        <w:t>et al</w:t>
      </w:r>
      <w:r w:rsidRPr="007E6B9B">
        <w:rPr>
          <w:rFonts w:ascii="Arial" w:hAnsi="Arial" w:cs="Arial"/>
          <w:color w:val="000000"/>
          <w:sz w:val="20"/>
        </w:rPr>
        <w:t xml:space="preserve">. </w:t>
      </w:r>
      <w:r w:rsidRPr="007E6B9B">
        <w:rPr>
          <w:rFonts w:ascii="Arial" w:hAnsi="Arial" w:cs="Arial"/>
          <w:color w:val="000000"/>
          <w:sz w:val="20"/>
          <w:lang w:val="en-US"/>
        </w:rPr>
        <w:t>(2018) Minimum Information about an Uncultivated Virus Genome (</w:t>
      </w:r>
      <w:proofErr w:type="spellStart"/>
      <w:r w:rsidRPr="007E6B9B">
        <w:rPr>
          <w:rFonts w:ascii="Arial" w:hAnsi="Arial" w:cs="Arial"/>
          <w:color w:val="000000"/>
          <w:sz w:val="20"/>
          <w:lang w:val="en-US"/>
        </w:rPr>
        <w:t>MIUViG</w:t>
      </w:r>
      <w:proofErr w:type="spellEnd"/>
      <w:r w:rsidRPr="007E6B9B">
        <w:rPr>
          <w:rFonts w:ascii="Arial" w:hAnsi="Arial" w:cs="Arial"/>
          <w:color w:val="000000"/>
          <w:sz w:val="20"/>
          <w:lang w:val="en-US"/>
        </w:rPr>
        <w:t xml:space="preserve">). Nat </w:t>
      </w:r>
      <w:proofErr w:type="spellStart"/>
      <w:r w:rsidRPr="007E6B9B">
        <w:rPr>
          <w:rFonts w:ascii="Arial" w:hAnsi="Arial" w:cs="Arial"/>
          <w:color w:val="000000"/>
          <w:sz w:val="20"/>
          <w:lang w:val="en-US"/>
        </w:rPr>
        <w:t>Biotechnol</w:t>
      </w:r>
      <w:proofErr w:type="spellEnd"/>
      <w:r w:rsidRPr="007E6B9B">
        <w:rPr>
          <w:rFonts w:ascii="Arial" w:hAnsi="Arial" w:cs="Arial"/>
          <w:color w:val="000000"/>
          <w:sz w:val="20"/>
          <w:lang w:val="en-US"/>
        </w:rPr>
        <w:t xml:space="preserve">. </w:t>
      </w:r>
      <w:proofErr w:type="spellStart"/>
      <w:proofErr w:type="gramStart"/>
      <w:r w:rsidRPr="007E6B9B">
        <w:rPr>
          <w:rFonts w:ascii="Arial" w:hAnsi="Arial" w:cs="Arial"/>
          <w:color w:val="000000"/>
          <w:sz w:val="20"/>
        </w:rPr>
        <w:t>Doi</w:t>
      </w:r>
      <w:proofErr w:type="spellEnd"/>
      <w:r w:rsidRPr="007E6B9B">
        <w:rPr>
          <w:rFonts w:ascii="Arial" w:hAnsi="Arial" w:cs="Arial"/>
          <w:color w:val="000000"/>
          <w:sz w:val="20"/>
        </w:rPr>
        <w:t>:</w:t>
      </w:r>
      <w:proofErr w:type="gramEnd"/>
      <w:r w:rsidRPr="007E6B9B">
        <w:rPr>
          <w:rFonts w:ascii="Arial" w:hAnsi="Arial" w:cs="Arial"/>
          <w:color w:val="000000"/>
          <w:sz w:val="20"/>
        </w:rPr>
        <w:t xml:space="preserve"> 10.1038/nbt.4306. </w:t>
      </w:r>
      <w:proofErr w:type="gramStart"/>
      <w:r w:rsidRPr="007E6B9B">
        <w:rPr>
          <w:rFonts w:ascii="Arial" w:hAnsi="Arial" w:cs="Arial"/>
          <w:color w:val="000000"/>
          <w:sz w:val="20"/>
        </w:rPr>
        <w:t>PMID:</w:t>
      </w:r>
      <w:proofErr w:type="gramEnd"/>
      <w:r w:rsidRPr="007E6B9B">
        <w:rPr>
          <w:rFonts w:ascii="Arial" w:hAnsi="Arial" w:cs="Arial"/>
          <w:color w:val="000000"/>
          <w:sz w:val="20"/>
        </w:rPr>
        <w:t xml:space="preserve"> 30556814. (</w:t>
      </w:r>
      <w:proofErr w:type="gramStart"/>
      <w:r w:rsidRPr="007E6B9B">
        <w:rPr>
          <w:rFonts w:ascii="Arial" w:hAnsi="Arial" w:cs="Arial"/>
          <w:color w:val="000000"/>
          <w:sz w:val="20"/>
        </w:rPr>
        <w:t>IF:</w:t>
      </w:r>
      <w:proofErr w:type="gramEnd"/>
      <w:r w:rsidRPr="007E6B9B">
        <w:rPr>
          <w:rFonts w:ascii="Arial" w:hAnsi="Arial" w:cs="Arial"/>
          <w:color w:val="000000"/>
          <w:sz w:val="20"/>
        </w:rPr>
        <w:t xml:space="preserve"> 35.7)</w:t>
      </w:r>
    </w:p>
    <w:p w:rsidR="00363C0D" w:rsidRDefault="00363C0D" w:rsidP="00363C0D">
      <w:pPr>
        <w:spacing w:after="200" w:line="276" w:lineRule="auto"/>
        <w:rPr>
          <w:rFonts w:asciiTheme="minorHAnsi" w:hAnsiTheme="minorHAnsi"/>
          <w:lang w:val="en-US"/>
        </w:rPr>
      </w:pPr>
      <w:r>
        <w:rPr>
          <w:rFonts w:asciiTheme="minorHAnsi" w:hAnsiTheme="minorHAnsi"/>
          <w:lang w:val="en-US"/>
        </w:rPr>
        <w:br w:type="page"/>
      </w:r>
    </w:p>
    <w:p w:rsidR="00363C0D" w:rsidRPr="00EC146C" w:rsidRDefault="00363C0D" w:rsidP="00363C0D">
      <w:pPr>
        <w:pStyle w:val="Corpsdetexte"/>
        <w:tabs>
          <w:tab w:val="left" w:pos="1560"/>
        </w:tabs>
        <w:rPr>
          <w:rFonts w:ascii="Arial" w:hAnsi="Arial" w:cs="Arial"/>
          <w:b/>
          <w:i w:val="0"/>
          <w:sz w:val="20"/>
        </w:rPr>
      </w:pPr>
      <w:r w:rsidRPr="00EC146C">
        <w:rPr>
          <w:rFonts w:ascii="Arial" w:hAnsi="Arial" w:cs="Arial"/>
          <w:b/>
          <w:i w:val="0"/>
          <w:sz w:val="20"/>
        </w:rPr>
        <w:lastRenderedPageBreak/>
        <w:t xml:space="preserve">Directeur de thèse : </w:t>
      </w:r>
      <w:r>
        <w:rPr>
          <w:rFonts w:ascii="Arial" w:hAnsi="Arial" w:cs="Arial"/>
          <w:i w:val="0"/>
          <w:sz w:val="20"/>
        </w:rPr>
        <w:t xml:space="preserve">O Traoré (HDR) </w:t>
      </w:r>
      <w:r>
        <w:rPr>
          <w:rFonts w:ascii="Arial" w:hAnsi="Arial" w:cs="Arial"/>
          <w:i w:val="0"/>
          <w:sz w:val="20"/>
        </w:rPr>
        <w:tab/>
      </w:r>
      <w:hyperlink r:id="rId19" w:history="1">
        <w:r w:rsidRPr="00FF45EF">
          <w:rPr>
            <w:rStyle w:val="Lienhypertexte"/>
            <w:rFonts w:ascii="Arial" w:hAnsi="Arial" w:cs="Arial"/>
            <w:i w:val="0"/>
            <w:sz w:val="20"/>
          </w:rPr>
          <w:t>otraore@chu-clermontferrand.fr</w:t>
        </w:r>
      </w:hyperlink>
      <w:r>
        <w:rPr>
          <w:rFonts w:ascii="Arial" w:hAnsi="Arial" w:cs="Arial"/>
          <w:i w:val="0"/>
          <w:sz w:val="20"/>
        </w:rPr>
        <w:t xml:space="preserve"> </w:t>
      </w:r>
      <w:r w:rsidRPr="00EC146C">
        <w:rPr>
          <w:rFonts w:ascii="Arial" w:hAnsi="Arial" w:cs="Arial"/>
          <w:i w:val="0"/>
          <w:sz w:val="20"/>
        </w:rPr>
        <w:t xml:space="preserve"> </w:t>
      </w:r>
    </w:p>
    <w:p w:rsidR="00363C0D" w:rsidRDefault="00363C0D" w:rsidP="00363C0D">
      <w:pPr>
        <w:pStyle w:val="Corpsdetexte"/>
        <w:tabs>
          <w:tab w:val="left" w:pos="1560"/>
        </w:tabs>
        <w:jc w:val="left"/>
        <w:rPr>
          <w:rFonts w:ascii="Arial" w:hAnsi="Arial" w:cs="Arial"/>
          <w:b/>
          <w:i w:val="0"/>
          <w:sz w:val="20"/>
        </w:rPr>
      </w:pPr>
    </w:p>
    <w:p w:rsidR="00363C0D" w:rsidRDefault="00363C0D" w:rsidP="00363C0D">
      <w:pPr>
        <w:pStyle w:val="Corpsdetexte"/>
        <w:tabs>
          <w:tab w:val="left" w:pos="1560"/>
        </w:tabs>
        <w:jc w:val="left"/>
        <w:rPr>
          <w:rFonts w:ascii="Arial" w:hAnsi="Arial" w:cs="Arial"/>
          <w:b/>
          <w:i w:val="0"/>
          <w:sz w:val="20"/>
        </w:rPr>
      </w:pPr>
      <w:proofErr w:type="spellStart"/>
      <w:r w:rsidRPr="003C4A37">
        <w:rPr>
          <w:rFonts w:ascii="Arial" w:hAnsi="Arial" w:cs="Arial"/>
          <w:b/>
          <w:i w:val="0"/>
          <w:sz w:val="20"/>
        </w:rPr>
        <w:t>Re</w:t>
      </w:r>
      <w:proofErr w:type="spellEnd"/>
      <w:r w:rsidRPr="003C4A37">
        <w:rPr>
          <w:rFonts w:ascii="Arial" w:hAnsi="Arial" w:cs="Arial"/>
          <w:b/>
          <w:i w:val="0"/>
          <w:sz w:val="20"/>
        </w:rPr>
        <w:t>-sensibilisation aux antibiotiques de bactéries au sein de communautés complexes </w:t>
      </w:r>
    </w:p>
    <w:p w:rsidR="00363C0D" w:rsidRDefault="00363C0D" w:rsidP="00363C0D">
      <w:pPr>
        <w:pStyle w:val="Corpsdetexte"/>
        <w:tabs>
          <w:tab w:val="left" w:pos="1560"/>
        </w:tabs>
        <w:rPr>
          <w:rFonts w:ascii="Arial" w:hAnsi="Arial" w:cs="Arial"/>
          <w:i w:val="0"/>
          <w:sz w:val="20"/>
        </w:rPr>
      </w:pPr>
    </w:p>
    <w:p w:rsidR="00363C0D" w:rsidRDefault="00363C0D" w:rsidP="00363C0D">
      <w:pPr>
        <w:pStyle w:val="Corpsdetexte"/>
        <w:tabs>
          <w:tab w:val="left" w:pos="1560"/>
        </w:tabs>
        <w:rPr>
          <w:rFonts w:ascii="Arial" w:hAnsi="Arial" w:cs="Arial"/>
          <w:i w:val="0"/>
          <w:sz w:val="20"/>
        </w:rPr>
      </w:pPr>
      <w:r>
        <w:rPr>
          <w:rFonts w:ascii="Arial" w:hAnsi="Arial" w:cs="Arial"/>
          <w:i w:val="0"/>
          <w:sz w:val="20"/>
        </w:rPr>
        <w:t xml:space="preserve">L’augmentation de la résistance des bactéries aux antibiotiques </w:t>
      </w:r>
      <w:r w:rsidRPr="003C4A37">
        <w:rPr>
          <w:rFonts w:ascii="Arial" w:hAnsi="Arial" w:cs="Arial"/>
          <w:i w:val="0"/>
          <w:sz w:val="20"/>
        </w:rPr>
        <w:t xml:space="preserve">est liée à </w:t>
      </w:r>
      <w:r>
        <w:rPr>
          <w:rFonts w:ascii="Arial" w:hAnsi="Arial" w:cs="Arial"/>
          <w:i w:val="0"/>
          <w:sz w:val="20"/>
        </w:rPr>
        <w:t xml:space="preserve">leur </w:t>
      </w:r>
      <w:r w:rsidRPr="003C4A37">
        <w:rPr>
          <w:rFonts w:ascii="Arial" w:hAnsi="Arial" w:cs="Arial"/>
          <w:i w:val="0"/>
          <w:sz w:val="20"/>
        </w:rPr>
        <w:t xml:space="preserve">utilisation croissante </w:t>
      </w:r>
      <w:r>
        <w:rPr>
          <w:rFonts w:ascii="Arial" w:hAnsi="Arial" w:cs="Arial"/>
          <w:i w:val="0"/>
          <w:sz w:val="20"/>
        </w:rPr>
        <w:t>et à leur</w:t>
      </w:r>
      <w:r w:rsidRPr="003C4A37">
        <w:rPr>
          <w:rFonts w:ascii="Arial" w:hAnsi="Arial" w:cs="Arial"/>
          <w:i w:val="0"/>
          <w:sz w:val="20"/>
        </w:rPr>
        <w:t xml:space="preserve"> rejet dans l’environnement. </w:t>
      </w:r>
      <w:r>
        <w:rPr>
          <w:rFonts w:ascii="Arial" w:hAnsi="Arial" w:cs="Arial"/>
          <w:i w:val="0"/>
          <w:sz w:val="20"/>
        </w:rPr>
        <w:t>Cette</w:t>
      </w:r>
      <w:r w:rsidRPr="003C4A37">
        <w:rPr>
          <w:rFonts w:ascii="Arial" w:hAnsi="Arial" w:cs="Arial"/>
          <w:i w:val="0"/>
          <w:sz w:val="20"/>
        </w:rPr>
        <w:t xml:space="preserve"> </w:t>
      </w:r>
      <w:r>
        <w:rPr>
          <w:rFonts w:ascii="Arial" w:hAnsi="Arial" w:cs="Arial"/>
          <w:i w:val="0"/>
          <w:sz w:val="20"/>
        </w:rPr>
        <w:t>omni</w:t>
      </w:r>
      <w:r w:rsidRPr="003C4A37">
        <w:rPr>
          <w:rFonts w:ascii="Arial" w:hAnsi="Arial" w:cs="Arial"/>
          <w:i w:val="0"/>
          <w:sz w:val="20"/>
        </w:rPr>
        <w:t xml:space="preserve">présence facilite la survenue de mutants résistants </w:t>
      </w:r>
      <w:r>
        <w:rPr>
          <w:rFonts w:ascii="Arial" w:hAnsi="Arial" w:cs="Arial"/>
          <w:i w:val="0"/>
          <w:sz w:val="20"/>
        </w:rPr>
        <w:t>et</w:t>
      </w:r>
      <w:r w:rsidRPr="003C4A37">
        <w:rPr>
          <w:rFonts w:ascii="Arial" w:hAnsi="Arial" w:cs="Arial"/>
          <w:i w:val="0"/>
          <w:sz w:val="20"/>
        </w:rPr>
        <w:t xml:space="preserve"> </w:t>
      </w:r>
      <w:r>
        <w:rPr>
          <w:rFonts w:ascii="Arial" w:hAnsi="Arial" w:cs="Arial"/>
          <w:i w:val="0"/>
          <w:sz w:val="20"/>
        </w:rPr>
        <w:t>favorise</w:t>
      </w:r>
      <w:r w:rsidRPr="003C4A37">
        <w:rPr>
          <w:rFonts w:ascii="Arial" w:hAnsi="Arial" w:cs="Arial"/>
          <w:i w:val="0"/>
          <w:sz w:val="20"/>
        </w:rPr>
        <w:t xml:space="preserve"> </w:t>
      </w:r>
      <w:r>
        <w:rPr>
          <w:rFonts w:ascii="Arial" w:hAnsi="Arial" w:cs="Arial"/>
          <w:i w:val="0"/>
          <w:sz w:val="20"/>
        </w:rPr>
        <w:t>le</w:t>
      </w:r>
      <w:r w:rsidRPr="003C4A37">
        <w:rPr>
          <w:rFonts w:ascii="Arial" w:hAnsi="Arial" w:cs="Arial"/>
          <w:i w:val="0"/>
          <w:sz w:val="20"/>
        </w:rPr>
        <w:t xml:space="preserve"> transfert horizontal de</w:t>
      </w:r>
      <w:r>
        <w:rPr>
          <w:rFonts w:ascii="Arial" w:hAnsi="Arial" w:cs="Arial"/>
          <w:i w:val="0"/>
          <w:sz w:val="20"/>
        </w:rPr>
        <w:t>s</w:t>
      </w:r>
      <w:r w:rsidRPr="003C4A37">
        <w:rPr>
          <w:rFonts w:ascii="Arial" w:hAnsi="Arial" w:cs="Arial"/>
          <w:i w:val="0"/>
          <w:sz w:val="20"/>
        </w:rPr>
        <w:t xml:space="preserve"> gènes </w:t>
      </w:r>
      <w:r>
        <w:rPr>
          <w:rFonts w:ascii="Arial" w:hAnsi="Arial" w:cs="Arial"/>
          <w:i w:val="0"/>
          <w:sz w:val="20"/>
        </w:rPr>
        <w:t>impliqués entre bactéries</w:t>
      </w:r>
      <w:r w:rsidRPr="003C4A37">
        <w:rPr>
          <w:rFonts w:ascii="Arial" w:hAnsi="Arial" w:cs="Arial"/>
          <w:i w:val="0"/>
          <w:sz w:val="20"/>
        </w:rPr>
        <w:t xml:space="preserve">. Ainsi les communautés bactériennes complexes </w:t>
      </w:r>
      <w:r>
        <w:rPr>
          <w:rFonts w:ascii="Arial" w:hAnsi="Arial" w:cs="Arial"/>
          <w:i w:val="0"/>
          <w:sz w:val="20"/>
        </w:rPr>
        <w:t xml:space="preserve">(biofilms) </w:t>
      </w:r>
      <w:r w:rsidRPr="003C4A37">
        <w:rPr>
          <w:rFonts w:ascii="Arial" w:hAnsi="Arial" w:cs="Arial"/>
          <w:i w:val="0"/>
          <w:sz w:val="20"/>
        </w:rPr>
        <w:t>baignant dans un environnement pollué par la présence d’antibiotiques</w:t>
      </w:r>
      <w:r>
        <w:rPr>
          <w:rFonts w:ascii="Arial" w:hAnsi="Arial" w:cs="Arial"/>
          <w:i w:val="0"/>
          <w:sz w:val="20"/>
        </w:rPr>
        <w:t xml:space="preserve"> (</w:t>
      </w:r>
      <w:proofErr w:type="spellStart"/>
      <w:r w:rsidRPr="003C4A37">
        <w:rPr>
          <w:rFonts w:ascii="Arial" w:hAnsi="Arial" w:cs="Arial"/>
          <w:i w:val="0"/>
          <w:sz w:val="20"/>
        </w:rPr>
        <w:t>microbiote</w:t>
      </w:r>
      <w:proofErr w:type="spellEnd"/>
      <w:r w:rsidRPr="003C4A37">
        <w:rPr>
          <w:rFonts w:ascii="Arial" w:hAnsi="Arial" w:cs="Arial"/>
          <w:i w:val="0"/>
          <w:sz w:val="20"/>
        </w:rPr>
        <w:t xml:space="preserve"> intestinal de patients traités ou bactéries des eaux usées</w:t>
      </w:r>
      <w:r>
        <w:rPr>
          <w:rFonts w:ascii="Arial" w:hAnsi="Arial" w:cs="Arial"/>
          <w:i w:val="0"/>
          <w:sz w:val="20"/>
        </w:rPr>
        <w:t xml:space="preserve">, </w:t>
      </w:r>
      <w:r w:rsidRPr="003C4A37">
        <w:rPr>
          <w:rFonts w:ascii="Arial" w:hAnsi="Arial" w:cs="Arial"/>
          <w:i w:val="0"/>
          <w:sz w:val="20"/>
        </w:rPr>
        <w:t xml:space="preserve">notamment hospitalières) constituent des points névralgiques pour l’émergence et la diffusion des résistances aux antibiotiques. </w:t>
      </w:r>
    </w:p>
    <w:p w:rsidR="00363C0D" w:rsidRPr="003C4A37" w:rsidRDefault="00363C0D" w:rsidP="00363C0D">
      <w:pPr>
        <w:pStyle w:val="Corpsdetexte"/>
        <w:tabs>
          <w:tab w:val="left" w:pos="1560"/>
        </w:tabs>
        <w:rPr>
          <w:rFonts w:ascii="Arial" w:hAnsi="Arial" w:cs="Arial"/>
          <w:i w:val="0"/>
          <w:sz w:val="20"/>
        </w:rPr>
      </w:pPr>
      <w:r w:rsidRPr="003C4A37">
        <w:rPr>
          <w:rFonts w:ascii="Arial" w:hAnsi="Arial" w:cs="Arial"/>
          <w:i w:val="0"/>
          <w:sz w:val="20"/>
        </w:rPr>
        <w:t xml:space="preserve">L’objectif de ce projet est de créer des outils capables d’annihiler les gènes de résistance en utilisant une bactérie véhicule, </w:t>
      </w:r>
      <w:proofErr w:type="spellStart"/>
      <w:r w:rsidRPr="003C4A37">
        <w:rPr>
          <w:rFonts w:ascii="Arial" w:hAnsi="Arial" w:cs="Arial"/>
          <w:sz w:val="20"/>
        </w:rPr>
        <w:t>Klebsiella</w:t>
      </w:r>
      <w:proofErr w:type="spellEnd"/>
      <w:r w:rsidRPr="003C4A37">
        <w:rPr>
          <w:rFonts w:ascii="Arial" w:hAnsi="Arial" w:cs="Arial"/>
          <w:i w:val="0"/>
          <w:sz w:val="20"/>
        </w:rPr>
        <w:t xml:space="preserve">, capable de délivrer par conjugaison un </w:t>
      </w:r>
      <w:r>
        <w:rPr>
          <w:rFonts w:ascii="Arial" w:hAnsi="Arial" w:cs="Arial"/>
          <w:i w:val="0"/>
          <w:sz w:val="20"/>
        </w:rPr>
        <w:t xml:space="preserve">plasmide porteur du système CRISPR-Cas9 ciblant spécifiquement </w:t>
      </w:r>
      <w:r w:rsidRPr="003C4A37">
        <w:rPr>
          <w:rFonts w:ascii="Arial" w:hAnsi="Arial" w:cs="Arial"/>
          <w:i w:val="0"/>
          <w:sz w:val="20"/>
        </w:rPr>
        <w:t xml:space="preserve">les gènes de résistance aux </w:t>
      </w:r>
      <w:proofErr w:type="spellStart"/>
      <w:r w:rsidRPr="003C4A37">
        <w:rPr>
          <w:rFonts w:ascii="Arial" w:hAnsi="Arial" w:cs="Arial"/>
          <w:i w:val="0"/>
          <w:sz w:val="20"/>
        </w:rPr>
        <w:t>carbapénèmes</w:t>
      </w:r>
      <w:proofErr w:type="spellEnd"/>
      <w:r>
        <w:rPr>
          <w:rFonts w:ascii="Arial" w:hAnsi="Arial" w:cs="Arial"/>
          <w:i w:val="0"/>
          <w:sz w:val="20"/>
        </w:rPr>
        <w:t xml:space="preserve">. Il </w:t>
      </w:r>
      <w:r w:rsidRPr="003C4A37">
        <w:rPr>
          <w:rFonts w:ascii="Arial" w:hAnsi="Arial" w:cs="Arial"/>
          <w:i w:val="0"/>
          <w:sz w:val="20"/>
        </w:rPr>
        <w:t>s’articule en 2 parties :</w:t>
      </w:r>
    </w:p>
    <w:p w:rsidR="00363C0D" w:rsidRPr="003C4A37" w:rsidRDefault="00363C0D" w:rsidP="00363C0D">
      <w:pPr>
        <w:pStyle w:val="Corpsdetexte"/>
        <w:tabs>
          <w:tab w:val="left" w:pos="1560"/>
        </w:tabs>
        <w:rPr>
          <w:rFonts w:ascii="Arial" w:hAnsi="Arial" w:cs="Arial"/>
          <w:i w:val="0"/>
          <w:sz w:val="20"/>
        </w:rPr>
      </w:pPr>
      <w:r>
        <w:rPr>
          <w:rFonts w:ascii="Arial" w:hAnsi="Arial" w:cs="Arial"/>
          <w:i w:val="0"/>
          <w:sz w:val="20"/>
        </w:rPr>
        <w:t>-</w:t>
      </w:r>
      <w:r w:rsidRPr="003C4A37">
        <w:rPr>
          <w:rFonts w:ascii="Arial" w:hAnsi="Arial" w:cs="Arial"/>
          <w:i w:val="0"/>
          <w:sz w:val="20"/>
        </w:rPr>
        <w:t xml:space="preserve"> Création des outils CRISPR-Cas9 ciblant les gènes des </w:t>
      </w:r>
      <w:proofErr w:type="spellStart"/>
      <w:r w:rsidRPr="003C4A37">
        <w:rPr>
          <w:rFonts w:ascii="Arial" w:hAnsi="Arial" w:cs="Arial"/>
          <w:i w:val="0"/>
          <w:sz w:val="20"/>
        </w:rPr>
        <w:t>carbapénémases</w:t>
      </w:r>
      <w:proofErr w:type="spellEnd"/>
      <w:r w:rsidRPr="003C4A37">
        <w:rPr>
          <w:rFonts w:ascii="Arial" w:hAnsi="Arial" w:cs="Arial"/>
          <w:i w:val="0"/>
          <w:sz w:val="20"/>
        </w:rPr>
        <w:t xml:space="preserve"> et détermination de leur efficacité. Un plasmide </w:t>
      </w:r>
      <w:proofErr w:type="spellStart"/>
      <w:r w:rsidRPr="003C4A37">
        <w:rPr>
          <w:rFonts w:ascii="Arial" w:hAnsi="Arial" w:cs="Arial"/>
          <w:i w:val="0"/>
          <w:sz w:val="20"/>
        </w:rPr>
        <w:t>conjugatif</w:t>
      </w:r>
      <w:proofErr w:type="spellEnd"/>
      <w:r w:rsidRPr="003C4A37">
        <w:rPr>
          <w:rFonts w:ascii="Arial" w:hAnsi="Arial" w:cs="Arial"/>
          <w:i w:val="0"/>
          <w:sz w:val="20"/>
        </w:rPr>
        <w:t xml:space="preserve"> porteur du gène </w:t>
      </w:r>
      <w:r w:rsidRPr="003226D1">
        <w:rPr>
          <w:rFonts w:ascii="Arial" w:hAnsi="Arial" w:cs="Arial"/>
          <w:sz w:val="20"/>
        </w:rPr>
        <w:t>cas9</w:t>
      </w:r>
      <w:r w:rsidRPr="003C4A37">
        <w:rPr>
          <w:rFonts w:ascii="Arial" w:hAnsi="Arial" w:cs="Arial"/>
          <w:i w:val="0"/>
          <w:sz w:val="20"/>
        </w:rPr>
        <w:t xml:space="preserve"> et d’ADN codant les </w:t>
      </w:r>
      <w:proofErr w:type="spellStart"/>
      <w:r w:rsidRPr="003C4A37">
        <w:rPr>
          <w:rFonts w:ascii="Arial" w:hAnsi="Arial" w:cs="Arial"/>
          <w:i w:val="0"/>
          <w:sz w:val="20"/>
        </w:rPr>
        <w:t>ARNg</w:t>
      </w:r>
      <w:proofErr w:type="spellEnd"/>
      <w:r w:rsidRPr="003C4A37">
        <w:rPr>
          <w:rFonts w:ascii="Arial" w:hAnsi="Arial" w:cs="Arial"/>
          <w:i w:val="0"/>
          <w:sz w:val="20"/>
        </w:rPr>
        <w:t xml:space="preserve"> </w:t>
      </w:r>
      <w:r>
        <w:rPr>
          <w:rFonts w:ascii="Arial" w:hAnsi="Arial" w:cs="Arial"/>
          <w:i w:val="0"/>
          <w:sz w:val="20"/>
        </w:rPr>
        <w:t>spécifiques</w:t>
      </w:r>
      <w:r w:rsidRPr="003C4A37">
        <w:rPr>
          <w:rFonts w:ascii="Arial" w:hAnsi="Arial" w:cs="Arial"/>
          <w:i w:val="0"/>
          <w:sz w:val="20"/>
        </w:rPr>
        <w:t xml:space="preserve"> </w:t>
      </w:r>
      <w:r>
        <w:rPr>
          <w:rFonts w:ascii="Arial" w:hAnsi="Arial" w:cs="Arial"/>
          <w:i w:val="0"/>
          <w:sz w:val="20"/>
        </w:rPr>
        <w:t>sera construit et seront mesurés : son</w:t>
      </w:r>
      <w:r w:rsidRPr="003C4A37">
        <w:rPr>
          <w:rFonts w:ascii="Arial" w:hAnsi="Arial" w:cs="Arial"/>
          <w:i w:val="0"/>
          <w:sz w:val="20"/>
        </w:rPr>
        <w:t xml:space="preserve"> taux de conjugaison, </w:t>
      </w:r>
      <w:r>
        <w:rPr>
          <w:rFonts w:ascii="Arial" w:hAnsi="Arial" w:cs="Arial"/>
          <w:i w:val="0"/>
          <w:sz w:val="20"/>
        </w:rPr>
        <w:t xml:space="preserve">son </w:t>
      </w:r>
      <w:r w:rsidRPr="003C4A37">
        <w:rPr>
          <w:rFonts w:ascii="Arial" w:hAnsi="Arial" w:cs="Arial"/>
          <w:i w:val="0"/>
          <w:sz w:val="20"/>
        </w:rPr>
        <w:t xml:space="preserve">efficacité de </w:t>
      </w:r>
      <w:proofErr w:type="spellStart"/>
      <w:r w:rsidRPr="003C4A37">
        <w:rPr>
          <w:rFonts w:ascii="Arial" w:hAnsi="Arial" w:cs="Arial"/>
          <w:i w:val="0"/>
          <w:sz w:val="20"/>
        </w:rPr>
        <w:t>re</w:t>
      </w:r>
      <w:proofErr w:type="spellEnd"/>
      <w:r w:rsidRPr="003C4A37">
        <w:rPr>
          <w:rFonts w:ascii="Arial" w:hAnsi="Arial" w:cs="Arial"/>
          <w:i w:val="0"/>
          <w:sz w:val="20"/>
        </w:rPr>
        <w:t xml:space="preserve">-sensibilisation et </w:t>
      </w:r>
      <w:r>
        <w:rPr>
          <w:rFonts w:ascii="Arial" w:hAnsi="Arial" w:cs="Arial"/>
          <w:i w:val="0"/>
          <w:sz w:val="20"/>
        </w:rPr>
        <w:t>s</w:t>
      </w:r>
      <w:r w:rsidRPr="003C4A37">
        <w:rPr>
          <w:rFonts w:ascii="Arial" w:hAnsi="Arial" w:cs="Arial"/>
          <w:i w:val="0"/>
          <w:sz w:val="20"/>
        </w:rPr>
        <w:t xml:space="preserve">a spécificité dans un modèle simple (conjugaison bipartite </w:t>
      </w:r>
      <w:r w:rsidRPr="003C4A37">
        <w:rPr>
          <w:rFonts w:ascii="Arial" w:hAnsi="Arial" w:cs="Arial"/>
          <w:sz w:val="20"/>
        </w:rPr>
        <w:t>in vitro</w:t>
      </w:r>
      <w:r w:rsidRPr="003C4A37">
        <w:rPr>
          <w:rFonts w:ascii="Arial" w:hAnsi="Arial" w:cs="Arial"/>
          <w:i w:val="0"/>
          <w:sz w:val="20"/>
        </w:rPr>
        <w:t xml:space="preserve"> avec une souche sauvage réceptrice</w:t>
      </w:r>
      <w:r>
        <w:rPr>
          <w:rFonts w:ascii="Arial" w:hAnsi="Arial" w:cs="Arial"/>
          <w:i w:val="0"/>
          <w:sz w:val="20"/>
        </w:rPr>
        <w:t>)</w:t>
      </w:r>
      <w:r w:rsidRPr="003C4A37">
        <w:rPr>
          <w:rFonts w:ascii="Arial" w:hAnsi="Arial" w:cs="Arial"/>
          <w:i w:val="0"/>
          <w:sz w:val="20"/>
        </w:rPr>
        <w:t xml:space="preserve">. </w:t>
      </w:r>
    </w:p>
    <w:p w:rsidR="00363C0D" w:rsidRDefault="00363C0D" w:rsidP="00363C0D">
      <w:pPr>
        <w:pStyle w:val="Corpsdetexte"/>
        <w:tabs>
          <w:tab w:val="left" w:pos="1560"/>
        </w:tabs>
        <w:jc w:val="left"/>
        <w:rPr>
          <w:rFonts w:ascii="Arial" w:hAnsi="Arial" w:cs="Arial"/>
          <w:i w:val="0"/>
          <w:sz w:val="20"/>
        </w:rPr>
      </w:pPr>
      <w:r>
        <w:rPr>
          <w:rFonts w:ascii="Arial" w:hAnsi="Arial" w:cs="Arial"/>
          <w:i w:val="0"/>
          <w:sz w:val="20"/>
        </w:rPr>
        <w:t>-</w:t>
      </w:r>
      <w:r w:rsidRPr="003C4A37">
        <w:rPr>
          <w:rFonts w:ascii="Arial" w:hAnsi="Arial" w:cs="Arial"/>
          <w:i w:val="0"/>
          <w:sz w:val="20"/>
        </w:rPr>
        <w:t xml:space="preserve"> </w:t>
      </w:r>
      <w:r>
        <w:rPr>
          <w:rFonts w:ascii="Arial" w:hAnsi="Arial" w:cs="Arial"/>
          <w:i w:val="0"/>
          <w:sz w:val="20"/>
        </w:rPr>
        <w:t>L</w:t>
      </w:r>
      <w:r w:rsidRPr="003C4A37">
        <w:rPr>
          <w:rFonts w:ascii="Arial" w:hAnsi="Arial" w:cs="Arial"/>
          <w:i w:val="0"/>
          <w:sz w:val="20"/>
        </w:rPr>
        <w:t xml:space="preserve">’efficacité de </w:t>
      </w:r>
      <w:proofErr w:type="spellStart"/>
      <w:r w:rsidRPr="003C4A37">
        <w:rPr>
          <w:rFonts w:ascii="Arial" w:hAnsi="Arial" w:cs="Arial"/>
          <w:i w:val="0"/>
          <w:sz w:val="20"/>
        </w:rPr>
        <w:t>re</w:t>
      </w:r>
      <w:proofErr w:type="spellEnd"/>
      <w:r w:rsidRPr="003C4A37">
        <w:rPr>
          <w:rFonts w:ascii="Arial" w:hAnsi="Arial" w:cs="Arial"/>
          <w:i w:val="0"/>
          <w:sz w:val="20"/>
        </w:rPr>
        <w:t xml:space="preserve">-sensibilisation </w:t>
      </w:r>
      <w:r>
        <w:rPr>
          <w:rFonts w:ascii="Arial" w:hAnsi="Arial" w:cs="Arial"/>
          <w:i w:val="0"/>
          <w:sz w:val="20"/>
        </w:rPr>
        <w:t>sera ensuite mesurée avec</w:t>
      </w:r>
      <w:r w:rsidRPr="003C4A37">
        <w:rPr>
          <w:rFonts w:ascii="Arial" w:hAnsi="Arial" w:cs="Arial"/>
          <w:i w:val="0"/>
          <w:sz w:val="20"/>
        </w:rPr>
        <w:t xml:space="preserve"> de</w:t>
      </w:r>
      <w:r>
        <w:rPr>
          <w:rFonts w:ascii="Arial" w:hAnsi="Arial" w:cs="Arial"/>
          <w:i w:val="0"/>
          <w:sz w:val="20"/>
        </w:rPr>
        <w:t>s</w:t>
      </w:r>
      <w:r w:rsidRPr="003C4A37">
        <w:rPr>
          <w:rFonts w:ascii="Arial" w:hAnsi="Arial" w:cs="Arial"/>
          <w:i w:val="0"/>
          <w:sz w:val="20"/>
        </w:rPr>
        <w:t xml:space="preserve"> communautés bactériennes complexes</w:t>
      </w:r>
      <w:r>
        <w:rPr>
          <w:rFonts w:ascii="Arial" w:hAnsi="Arial" w:cs="Arial"/>
          <w:i w:val="0"/>
          <w:sz w:val="20"/>
        </w:rPr>
        <w:t xml:space="preserve"> (</w:t>
      </w:r>
      <w:proofErr w:type="spellStart"/>
      <w:r w:rsidRPr="003C4A37">
        <w:rPr>
          <w:rFonts w:ascii="Arial" w:hAnsi="Arial" w:cs="Arial"/>
          <w:i w:val="0"/>
          <w:sz w:val="20"/>
        </w:rPr>
        <w:t>microbiote</w:t>
      </w:r>
      <w:proofErr w:type="spellEnd"/>
      <w:r w:rsidRPr="003C4A37">
        <w:rPr>
          <w:rFonts w:ascii="Arial" w:hAnsi="Arial" w:cs="Arial"/>
          <w:i w:val="0"/>
          <w:sz w:val="20"/>
        </w:rPr>
        <w:t xml:space="preserve"> intestinal murin et biofilms d’effluents hospitaliers en microcosmes</w:t>
      </w:r>
      <w:r>
        <w:rPr>
          <w:rFonts w:ascii="Arial" w:hAnsi="Arial" w:cs="Arial"/>
          <w:i w:val="0"/>
          <w:sz w:val="20"/>
        </w:rPr>
        <w:t>).</w:t>
      </w:r>
    </w:p>
    <w:p w:rsidR="00363C0D" w:rsidRDefault="00363C0D" w:rsidP="00363C0D">
      <w:pPr>
        <w:pStyle w:val="Corpsdetexte"/>
        <w:tabs>
          <w:tab w:val="left" w:pos="1560"/>
        </w:tabs>
        <w:ind w:left="284" w:hanging="284"/>
        <w:jc w:val="left"/>
        <w:rPr>
          <w:rFonts w:ascii="Arial" w:hAnsi="Arial" w:cs="Arial"/>
          <w:i w:val="0"/>
          <w:sz w:val="18"/>
          <w:szCs w:val="18"/>
          <w:lang w:val="en-US"/>
        </w:rPr>
      </w:pPr>
    </w:p>
    <w:p w:rsidR="00363C0D" w:rsidRPr="003B5CF4" w:rsidRDefault="00363C0D" w:rsidP="00363C0D">
      <w:pPr>
        <w:pStyle w:val="Corpsdetexte"/>
        <w:tabs>
          <w:tab w:val="left" w:pos="1560"/>
        </w:tabs>
        <w:ind w:left="284" w:hanging="284"/>
        <w:jc w:val="left"/>
        <w:rPr>
          <w:rFonts w:ascii="Arial" w:hAnsi="Arial" w:cs="Arial"/>
          <w:i w:val="0"/>
          <w:sz w:val="18"/>
          <w:szCs w:val="18"/>
          <w:lang w:val="en-GB"/>
        </w:rPr>
      </w:pPr>
      <w:r w:rsidRPr="006C61BA">
        <w:rPr>
          <w:rFonts w:ascii="Arial" w:hAnsi="Arial" w:cs="Arial"/>
          <w:i w:val="0"/>
          <w:sz w:val="18"/>
          <w:szCs w:val="18"/>
          <w:lang w:val="en-US"/>
        </w:rPr>
        <w:t xml:space="preserve">Biofilms in hospital effluents as a potential crossroads for </w:t>
      </w:r>
      <w:proofErr w:type="spellStart"/>
      <w:r w:rsidRPr="006C61BA">
        <w:rPr>
          <w:rFonts w:ascii="Arial" w:hAnsi="Arial" w:cs="Arial"/>
          <w:i w:val="0"/>
          <w:sz w:val="18"/>
          <w:szCs w:val="18"/>
          <w:lang w:val="en-US"/>
        </w:rPr>
        <w:t>carbapenemase</w:t>
      </w:r>
      <w:proofErr w:type="spellEnd"/>
      <w:r w:rsidRPr="006C61BA">
        <w:rPr>
          <w:rFonts w:ascii="Arial" w:hAnsi="Arial" w:cs="Arial"/>
          <w:i w:val="0"/>
          <w:sz w:val="18"/>
          <w:szCs w:val="18"/>
          <w:lang w:val="en-US"/>
        </w:rPr>
        <w:t xml:space="preserve">-encoding strains. </w:t>
      </w:r>
      <w:proofErr w:type="spellStart"/>
      <w:r w:rsidRPr="003B5CF4">
        <w:rPr>
          <w:rFonts w:ascii="Arial" w:hAnsi="Arial" w:cs="Arial"/>
          <w:i w:val="0"/>
          <w:sz w:val="18"/>
          <w:szCs w:val="18"/>
          <w:lang w:val="en-GB"/>
        </w:rPr>
        <w:t>Ory</w:t>
      </w:r>
      <w:proofErr w:type="spellEnd"/>
      <w:r w:rsidRPr="003B5CF4">
        <w:rPr>
          <w:rFonts w:ascii="Arial" w:hAnsi="Arial" w:cs="Arial"/>
          <w:i w:val="0"/>
          <w:sz w:val="18"/>
          <w:szCs w:val="18"/>
          <w:lang w:val="en-GB"/>
        </w:rPr>
        <w:t xml:space="preserve"> J </w:t>
      </w:r>
      <w:r w:rsidRPr="003B5CF4">
        <w:rPr>
          <w:rFonts w:ascii="Arial" w:hAnsi="Arial" w:cs="Arial"/>
          <w:sz w:val="18"/>
          <w:szCs w:val="18"/>
          <w:lang w:val="en-GB"/>
        </w:rPr>
        <w:t>et al.</w:t>
      </w:r>
      <w:r w:rsidRPr="003B5CF4">
        <w:rPr>
          <w:rFonts w:ascii="Arial" w:hAnsi="Arial" w:cs="Arial"/>
          <w:i w:val="0"/>
          <w:sz w:val="18"/>
          <w:szCs w:val="18"/>
          <w:lang w:val="en-GB"/>
        </w:rPr>
        <w:t xml:space="preserve">  </w:t>
      </w:r>
      <w:proofErr w:type="spellStart"/>
      <w:r w:rsidRPr="003B5CF4">
        <w:rPr>
          <w:rFonts w:ascii="Arial" w:hAnsi="Arial" w:cs="Arial"/>
          <w:i w:val="0"/>
          <w:sz w:val="18"/>
          <w:szCs w:val="18"/>
          <w:lang w:val="en-GB"/>
        </w:rPr>
        <w:t>Sci</w:t>
      </w:r>
      <w:proofErr w:type="spellEnd"/>
      <w:r w:rsidRPr="003B5CF4">
        <w:rPr>
          <w:rFonts w:ascii="Arial" w:hAnsi="Arial" w:cs="Arial"/>
          <w:i w:val="0"/>
          <w:sz w:val="18"/>
          <w:szCs w:val="18"/>
          <w:lang w:val="en-GB"/>
        </w:rPr>
        <w:t xml:space="preserve"> Total Environ. 2019 Mar </w:t>
      </w:r>
      <w:proofErr w:type="gramStart"/>
      <w:r w:rsidRPr="003B5CF4">
        <w:rPr>
          <w:rFonts w:ascii="Arial" w:hAnsi="Arial" w:cs="Arial"/>
          <w:i w:val="0"/>
          <w:sz w:val="18"/>
          <w:szCs w:val="18"/>
          <w:lang w:val="en-GB"/>
        </w:rPr>
        <w:t>20;657:7</w:t>
      </w:r>
      <w:proofErr w:type="gramEnd"/>
      <w:r w:rsidRPr="003B5CF4">
        <w:rPr>
          <w:rFonts w:ascii="Arial" w:hAnsi="Arial" w:cs="Arial"/>
          <w:i w:val="0"/>
          <w:sz w:val="18"/>
          <w:szCs w:val="18"/>
          <w:lang w:val="en-GB"/>
        </w:rPr>
        <w:t xml:space="preserve">-15. </w:t>
      </w:r>
    </w:p>
    <w:p w:rsidR="00363C0D" w:rsidRPr="006C61BA" w:rsidRDefault="00363C0D" w:rsidP="00363C0D">
      <w:pPr>
        <w:pStyle w:val="Corpsdetexte"/>
        <w:tabs>
          <w:tab w:val="left" w:pos="1560"/>
        </w:tabs>
        <w:ind w:left="284" w:hanging="284"/>
        <w:jc w:val="left"/>
        <w:rPr>
          <w:rFonts w:ascii="Arial" w:hAnsi="Arial" w:cs="Arial"/>
          <w:i w:val="0"/>
          <w:sz w:val="20"/>
        </w:rPr>
      </w:pPr>
      <w:r w:rsidRPr="006C61BA">
        <w:rPr>
          <w:rFonts w:ascii="Arial" w:hAnsi="Arial" w:cs="Arial"/>
          <w:i w:val="0"/>
          <w:sz w:val="18"/>
          <w:szCs w:val="18"/>
          <w:lang w:val="en-US"/>
        </w:rPr>
        <w:t xml:space="preserve">Ciprofloxacin residue and antibiotic-resistant biofilm bacteria in hospital effluent. </w:t>
      </w:r>
      <w:proofErr w:type="spellStart"/>
      <w:r w:rsidRPr="006C61BA">
        <w:rPr>
          <w:rFonts w:ascii="Arial" w:hAnsi="Arial" w:cs="Arial"/>
          <w:i w:val="0"/>
          <w:sz w:val="18"/>
          <w:szCs w:val="18"/>
        </w:rPr>
        <w:t>Ory</w:t>
      </w:r>
      <w:proofErr w:type="spellEnd"/>
      <w:r w:rsidRPr="006C61BA">
        <w:rPr>
          <w:rFonts w:ascii="Arial" w:hAnsi="Arial" w:cs="Arial"/>
          <w:i w:val="0"/>
          <w:sz w:val="18"/>
          <w:szCs w:val="18"/>
        </w:rPr>
        <w:t xml:space="preserve"> J</w:t>
      </w:r>
      <w:r>
        <w:rPr>
          <w:rFonts w:ascii="Arial" w:hAnsi="Arial" w:cs="Arial"/>
          <w:i w:val="0"/>
          <w:sz w:val="18"/>
          <w:szCs w:val="18"/>
        </w:rPr>
        <w:t xml:space="preserve"> </w:t>
      </w:r>
      <w:r w:rsidRPr="00C55D04">
        <w:rPr>
          <w:rFonts w:ascii="Arial" w:hAnsi="Arial" w:cs="Arial"/>
          <w:sz w:val="18"/>
          <w:szCs w:val="18"/>
        </w:rPr>
        <w:t>et al.</w:t>
      </w:r>
      <w:r w:rsidRPr="006C61BA">
        <w:rPr>
          <w:rFonts w:ascii="Arial" w:hAnsi="Arial" w:cs="Arial"/>
          <w:i w:val="0"/>
          <w:sz w:val="18"/>
          <w:szCs w:val="18"/>
        </w:rPr>
        <w:t xml:space="preserve"> Environ </w:t>
      </w:r>
      <w:proofErr w:type="spellStart"/>
      <w:r w:rsidRPr="006C61BA">
        <w:rPr>
          <w:rFonts w:ascii="Arial" w:hAnsi="Arial" w:cs="Arial"/>
          <w:i w:val="0"/>
          <w:sz w:val="18"/>
          <w:szCs w:val="18"/>
        </w:rPr>
        <w:t>Pollut</w:t>
      </w:r>
      <w:proofErr w:type="spellEnd"/>
      <w:r w:rsidRPr="006C61BA">
        <w:rPr>
          <w:rFonts w:ascii="Arial" w:hAnsi="Arial" w:cs="Arial"/>
          <w:i w:val="0"/>
          <w:sz w:val="18"/>
          <w:szCs w:val="18"/>
        </w:rPr>
        <w:t xml:space="preserve">. 2016 </w:t>
      </w:r>
      <w:proofErr w:type="gramStart"/>
      <w:r w:rsidRPr="006C61BA">
        <w:rPr>
          <w:rFonts w:ascii="Arial" w:hAnsi="Arial" w:cs="Arial"/>
          <w:i w:val="0"/>
          <w:sz w:val="18"/>
          <w:szCs w:val="18"/>
        </w:rPr>
        <w:t>Jul;</w:t>
      </w:r>
      <w:proofErr w:type="gramEnd"/>
      <w:r w:rsidRPr="006C61BA">
        <w:rPr>
          <w:rFonts w:ascii="Arial" w:hAnsi="Arial" w:cs="Arial"/>
          <w:i w:val="0"/>
          <w:sz w:val="18"/>
          <w:szCs w:val="18"/>
        </w:rPr>
        <w:t>214:635-645</w:t>
      </w:r>
      <w:r w:rsidRPr="006C61BA">
        <w:rPr>
          <w:rFonts w:ascii="Arial" w:hAnsi="Arial" w:cs="Arial"/>
          <w:i w:val="0"/>
          <w:sz w:val="20"/>
        </w:rPr>
        <w:t xml:space="preserve">. </w:t>
      </w:r>
    </w:p>
    <w:p w:rsidR="002702DC" w:rsidRPr="00DE2F91" w:rsidRDefault="002702DC" w:rsidP="00363C0D">
      <w:pPr>
        <w:rPr>
          <w:rFonts w:asciiTheme="minorHAnsi" w:hAnsiTheme="minorHAnsi"/>
          <w:lang w:val="en-US"/>
        </w:rPr>
      </w:pPr>
    </w:p>
    <w:sectPr w:rsidR="002702DC" w:rsidRPr="00DE2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DC"/>
    <w:rsid w:val="00195F75"/>
    <w:rsid w:val="00200643"/>
    <w:rsid w:val="002702DC"/>
    <w:rsid w:val="002D7270"/>
    <w:rsid w:val="00363C0D"/>
    <w:rsid w:val="003C1F20"/>
    <w:rsid w:val="0049265D"/>
    <w:rsid w:val="0055402E"/>
    <w:rsid w:val="005C269E"/>
    <w:rsid w:val="006102A3"/>
    <w:rsid w:val="00705114"/>
    <w:rsid w:val="007A028B"/>
    <w:rsid w:val="00967AAE"/>
    <w:rsid w:val="00A2389F"/>
    <w:rsid w:val="00BB5444"/>
    <w:rsid w:val="00BB7BDF"/>
    <w:rsid w:val="00DC2762"/>
    <w:rsid w:val="00DE2F91"/>
    <w:rsid w:val="00EE7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B247"/>
  <w15:docId w15:val="{48353D29-AB88-4183-B795-888ACBCB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D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702DC"/>
    <w:pPr>
      <w:jc w:val="both"/>
    </w:pPr>
    <w:rPr>
      <w:i/>
    </w:rPr>
  </w:style>
  <w:style w:type="character" w:customStyle="1" w:styleId="CorpsdetexteCar">
    <w:name w:val="Corps de texte Car"/>
    <w:basedOn w:val="Policepardfaut"/>
    <w:link w:val="Corpsdetexte"/>
    <w:qFormat/>
    <w:rsid w:val="002702DC"/>
    <w:rPr>
      <w:rFonts w:ascii="Times" w:eastAsia="Times" w:hAnsi="Times" w:cs="Times New Roman"/>
      <w:i/>
      <w:sz w:val="24"/>
      <w:szCs w:val="20"/>
      <w:lang w:eastAsia="fr-FR"/>
    </w:rPr>
  </w:style>
  <w:style w:type="character" w:styleId="Lienhypertexte">
    <w:name w:val="Hyperlink"/>
    <w:rsid w:val="002702DC"/>
    <w:rPr>
      <w:color w:val="0000FF"/>
      <w:u w:val="single"/>
    </w:rPr>
  </w:style>
  <w:style w:type="paragraph" w:customStyle="1" w:styleId="rprtbody">
    <w:name w:val="rprtbody"/>
    <w:basedOn w:val="Normal"/>
    <w:qFormat/>
    <w:rsid w:val="002702DC"/>
    <w:pPr>
      <w:spacing w:before="100" w:beforeAutospacing="1" w:after="100" w:afterAutospacing="1"/>
    </w:pPr>
    <w:rPr>
      <w:rFonts w:ascii="Times New Roman" w:eastAsia="Times New Roman" w:hAnsi="Times New Roman"/>
      <w:szCs w:val="24"/>
    </w:rPr>
  </w:style>
  <w:style w:type="character" w:customStyle="1" w:styleId="LienInternet">
    <w:name w:val="Lien Internet"/>
    <w:rsid w:val="002702DC"/>
    <w:rPr>
      <w:color w:val="0000FF"/>
      <w:u w:val="single"/>
    </w:rPr>
  </w:style>
  <w:style w:type="character" w:customStyle="1" w:styleId="src">
    <w:name w:val="src"/>
    <w:basedOn w:val="Policepardfaut"/>
    <w:qFormat/>
    <w:rsid w:val="002702DC"/>
  </w:style>
  <w:style w:type="character" w:customStyle="1" w:styleId="mediumtext1">
    <w:name w:val="medium_text1"/>
    <w:rsid w:val="002702DC"/>
    <w:rPr>
      <w:sz w:val="24"/>
      <w:szCs w:val="24"/>
    </w:rPr>
  </w:style>
  <w:style w:type="character" w:styleId="Lienhypertextesuivivisit">
    <w:name w:val="FollowedHyperlink"/>
    <w:basedOn w:val="Policepardfaut"/>
    <w:uiPriority w:val="99"/>
    <w:semiHidden/>
    <w:unhideWhenUsed/>
    <w:rsid w:val="00DE2F91"/>
    <w:rPr>
      <w:color w:val="800080" w:themeColor="followedHyperlink"/>
      <w:u w:val="single"/>
    </w:rPr>
  </w:style>
  <w:style w:type="character" w:customStyle="1" w:styleId="title-text">
    <w:name w:val="title-text"/>
    <w:basedOn w:val="Policepardfaut"/>
    <w:rsid w:val="007A028B"/>
  </w:style>
  <w:style w:type="character" w:customStyle="1" w:styleId="Accentuationforte">
    <w:name w:val="Accentuation forte"/>
    <w:qFormat/>
    <w:rsid w:val="00705114"/>
    <w:rPr>
      <w:b/>
      <w:bCs/>
    </w:rPr>
  </w:style>
  <w:style w:type="character" w:customStyle="1" w:styleId="cit">
    <w:name w:val="cit"/>
    <w:basedOn w:val="Policepardfaut"/>
    <w:qFormat/>
    <w:rsid w:val="002D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artigas_alejo@uca.fr" TargetMode="External"/><Relationship Id="rId13" Type="http://schemas.openxmlformats.org/officeDocument/2006/relationships/hyperlink" Target="mailto:J-Francois.Brugere@uca.fr" TargetMode="External"/><Relationship Id="rId18" Type="http://schemas.openxmlformats.org/officeDocument/2006/relationships/hyperlink" Target="mailto:eric.peyretaillade@uca.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hristine.archimbaud@uca.fr" TargetMode="External"/><Relationship Id="rId12" Type="http://schemas.openxmlformats.org/officeDocument/2006/relationships/hyperlink" Target="mailto:a-manuel.koussoroplis@uca.fr" TargetMode="External"/><Relationship Id="rId17" Type="http://schemas.openxmlformats.org/officeDocument/2006/relationships/hyperlink" Target="mailto:cecile.lepere@UCA.fr" TargetMode="External"/><Relationship Id="rId2" Type="http://schemas.openxmlformats.org/officeDocument/2006/relationships/settings" Target="settings.xml"/><Relationship Id="rId16" Type="http://schemas.openxmlformats.org/officeDocument/2006/relationships/hyperlink" Target="mailto:hicham.el_alaoui@uca.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elesphore.sime-ngando@univ-bpclermont.fr" TargetMode="External"/><Relationship Id="rId11" Type="http://schemas.openxmlformats.org/officeDocument/2006/relationships/hyperlink" Target="mailto:alexandre.bec@uca.fr" TargetMode="External"/><Relationship Id="rId5" Type="http://schemas.openxmlformats.org/officeDocument/2006/relationships/hyperlink" Target="http://www.lmge.univ-bpclermont.fr/" TargetMode="External"/><Relationship Id="rId15" Type="http://schemas.openxmlformats.org/officeDocument/2006/relationships/hyperlink" Target="https://amr-review.org/sites/default/files/160518_Final%20paper_with%20cover.pdf" TargetMode="External"/><Relationship Id="rId10" Type="http://schemas.openxmlformats.org/officeDocument/2006/relationships/hyperlink" Target="mailto:Isabelle.Batisson@uca.fr" TargetMode="External"/><Relationship Id="rId19" Type="http://schemas.openxmlformats.org/officeDocument/2006/relationships/hyperlink" Target="mailto:otraore@chu-clermontferrand.fr" TargetMode="External"/><Relationship Id="rId4" Type="http://schemas.openxmlformats.org/officeDocument/2006/relationships/hyperlink" Target="http://edsvs.univ-bpclermont.fr/?p=35" TargetMode="External"/><Relationship Id="rId9" Type="http://schemas.openxmlformats.org/officeDocument/2006/relationships/hyperlink" Target="https://doi.org/10.1016/j.scitotenv.2020.137463" TargetMode="External"/><Relationship Id="rId14" Type="http://schemas.openxmlformats.org/officeDocument/2006/relationships/hyperlink" Target="mailto:didier.debroas@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3478</Words>
  <Characters>19132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dc:creator>
  <cp:lastModifiedBy>Telesphore SIME NGANDO</cp:lastModifiedBy>
  <cp:revision>12</cp:revision>
  <dcterms:created xsi:type="dcterms:W3CDTF">2020-07-08T14:07:00Z</dcterms:created>
  <dcterms:modified xsi:type="dcterms:W3CDTF">2020-07-08T14:19:00Z</dcterms:modified>
</cp:coreProperties>
</file>